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670" w:rsidRDefault="00E14670">
      <w:pPr>
        <w:tabs>
          <w:tab w:val="left" w:pos="11055"/>
        </w:tabs>
      </w:pPr>
    </w:p>
    <w:p w:rsidR="00E14670" w:rsidRDefault="00A044AA" w:rsidP="00A044AA">
      <w:pPr>
        <w:tabs>
          <w:tab w:val="left" w:pos="11055"/>
        </w:tabs>
        <w:jc w:val="center"/>
      </w:pPr>
      <w:r>
        <w:rPr>
          <w:noProof/>
          <w:lang w:eastAsia="en-GB"/>
        </w:rPr>
        <w:drawing>
          <wp:inline distT="0" distB="0" distL="0" distR="0" wp14:anchorId="2516FAF0" wp14:editId="7DA5A0B3">
            <wp:extent cx="1390650" cy="1673126"/>
            <wp:effectExtent l="0" t="0" r="0" b="3810"/>
            <wp:docPr id="2" name="Picture 2" descr="C:\DOCUMENT\25.04.18\September 2016 - July 2017\Admi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25.04.18\September 2016 - July 2017\Admin\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1673126"/>
                    </a:xfrm>
                    <a:prstGeom prst="rect">
                      <a:avLst/>
                    </a:prstGeom>
                    <a:noFill/>
                    <a:ln>
                      <a:noFill/>
                    </a:ln>
                  </pic:spPr>
                </pic:pic>
              </a:graphicData>
            </a:graphic>
          </wp:inline>
        </w:drawing>
      </w:r>
    </w:p>
    <w:p w:rsidR="00E14670" w:rsidRPr="00A044AA" w:rsidRDefault="00A044AA" w:rsidP="00A044AA">
      <w:pPr>
        <w:pStyle w:val="Heading1"/>
      </w:pPr>
      <w:r w:rsidRPr="00A044AA">
        <w:t>Cam Woodfield Infant School</w:t>
      </w:r>
    </w:p>
    <w:p w:rsidR="00E14670" w:rsidRDefault="00B47D85" w:rsidP="00A044AA">
      <w:pPr>
        <w:pStyle w:val="Heading1"/>
      </w:pPr>
      <w:bookmarkStart w:id="0" w:name="_Toc499728272"/>
      <w:bookmarkStart w:id="1" w:name="_Toc499728451"/>
      <w:bookmarkStart w:id="2" w:name="_Toc499733483"/>
      <w:r>
        <w:t>Subject Access Request Policy and Procedure</w:t>
      </w:r>
      <w:bookmarkEnd w:id="0"/>
      <w:bookmarkEnd w:id="1"/>
      <w:bookmarkEnd w:id="2"/>
    </w:p>
    <w:p w:rsidR="0087525D" w:rsidRDefault="0087525D" w:rsidP="0087525D">
      <w:pPr>
        <w:jc w:val="center"/>
        <w:rPr>
          <w:sz w:val="40"/>
          <w:szCs w:val="40"/>
        </w:rPr>
      </w:pPr>
    </w:p>
    <w:p w:rsidR="0087525D" w:rsidRPr="002F4C6B" w:rsidRDefault="00905F20" w:rsidP="0087525D">
      <w:pPr>
        <w:jc w:val="center"/>
        <w:rPr>
          <w:sz w:val="40"/>
          <w:szCs w:val="40"/>
        </w:rPr>
      </w:pPr>
      <w:r>
        <w:rPr>
          <w:sz w:val="40"/>
          <w:szCs w:val="40"/>
        </w:rPr>
        <w:t>May 2020 - May 2022</w:t>
      </w:r>
      <w:bookmarkStart w:id="3" w:name="_GoBack"/>
      <w:bookmarkEnd w:id="3"/>
    </w:p>
    <w:p w:rsidR="00E14670" w:rsidRDefault="00E14670">
      <w:pPr>
        <w:rPr>
          <w:i/>
        </w:rPr>
      </w:pPr>
    </w:p>
    <w:p w:rsidR="00E14670" w:rsidRDefault="00E14670">
      <w:pPr>
        <w:rPr>
          <w:i/>
        </w:rPr>
      </w:pPr>
    </w:p>
    <w:p w:rsidR="00E14670" w:rsidRDefault="00B47D85">
      <w:pPr>
        <w:pStyle w:val="Heading2"/>
      </w:pPr>
      <w:r>
        <w:tab/>
      </w:r>
    </w:p>
    <w:p w:rsidR="00E14670" w:rsidRDefault="00E14670">
      <w:pPr>
        <w:pStyle w:val="Heading2"/>
      </w:pPr>
    </w:p>
    <w:p w:rsidR="00E14670" w:rsidRDefault="00B47D85">
      <w:pPr>
        <w:tabs>
          <w:tab w:val="left" w:pos="11055"/>
        </w:tabs>
        <w:sectPr w:rsidR="00E14670">
          <w:footerReference w:type="default" r:id="rId9"/>
          <w:headerReference w:type="first" r:id="rId10"/>
          <w:footerReference w:type="first" r:id="rId11"/>
          <w:pgSz w:w="11906" w:h="16838"/>
          <w:pgMar w:top="720" w:right="720" w:bottom="720" w:left="720" w:header="708" w:footer="708" w:gutter="0"/>
          <w:cols w:space="708"/>
          <w:titlePg/>
          <w:docGrid w:linePitch="360"/>
        </w:sectPr>
      </w:pPr>
      <w:r>
        <w:tab/>
      </w:r>
    </w:p>
    <w:p w:rsidR="00E14670" w:rsidRDefault="00E14670">
      <w:pPr>
        <w:rPr>
          <w:lang w:val="en" w:eastAsia="en-GB"/>
        </w:rPr>
      </w:pPr>
    </w:p>
    <w:sdt>
      <w:sdtPr>
        <w:rPr>
          <w:rFonts w:ascii="Arial" w:eastAsiaTheme="minorHAnsi" w:hAnsi="Arial" w:cstheme="minorBidi"/>
          <w:color w:val="auto"/>
          <w:sz w:val="24"/>
          <w:szCs w:val="22"/>
          <w:lang w:val="en-GB"/>
        </w:rPr>
        <w:id w:val="1881044711"/>
        <w:docPartObj>
          <w:docPartGallery w:val="Table of Contents"/>
          <w:docPartUnique/>
        </w:docPartObj>
      </w:sdtPr>
      <w:sdtEndPr>
        <w:rPr>
          <w:b/>
          <w:bCs/>
          <w:noProof/>
        </w:rPr>
      </w:sdtEndPr>
      <w:sdtContent>
        <w:p w:rsidR="00E14670" w:rsidRDefault="00B47D85" w:rsidP="00A044AA">
          <w:pPr>
            <w:pStyle w:val="TOCHeading"/>
          </w:pPr>
          <w:r>
            <w:t>Contents</w:t>
          </w:r>
        </w:p>
        <w:p w:rsidR="00E14670" w:rsidRDefault="00B47D85">
          <w:pPr>
            <w:pStyle w:val="TOC1"/>
            <w:tabs>
              <w:tab w:val="right" w:leader="dot" w:pos="9769"/>
            </w:tabs>
            <w:rPr>
              <w:rFonts w:asciiTheme="minorHAnsi" w:eastAsiaTheme="minorEastAsia" w:hAnsiTheme="minorHAnsi"/>
              <w:noProof/>
              <w:sz w:val="22"/>
              <w:lang w:eastAsia="en-GB"/>
            </w:rPr>
          </w:pPr>
          <w:r>
            <w:fldChar w:fldCharType="begin"/>
          </w:r>
          <w:r>
            <w:instrText xml:space="preserve"> TOC \o "1-3" \h \z \u </w:instrText>
          </w:r>
          <w:r>
            <w:fldChar w:fldCharType="separate"/>
          </w:r>
        </w:p>
        <w:p w:rsidR="00E14670" w:rsidRDefault="00502027">
          <w:pPr>
            <w:pStyle w:val="TOC2"/>
            <w:tabs>
              <w:tab w:val="right" w:leader="dot" w:pos="9769"/>
            </w:tabs>
            <w:rPr>
              <w:rFonts w:asciiTheme="minorHAnsi" w:eastAsiaTheme="minorEastAsia" w:hAnsiTheme="minorHAnsi"/>
              <w:noProof/>
              <w:sz w:val="22"/>
              <w:lang w:eastAsia="en-GB"/>
            </w:rPr>
          </w:pPr>
          <w:hyperlink w:anchor="_Toc499733494" w:history="1">
            <w:r w:rsidR="00B47D85">
              <w:rPr>
                <w:rStyle w:val="Hyperlink"/>
                <w:noProof/>
              </w:rPr>
              <w:t>1.The General Data Protection Regulation</w:t>
            </w:r>
            <w:r w:rsidR="00B47D85">
              <w:rPr>
                <w:noProof/>
                <w:webHidden/>
              </w:rPr>
              <w:tab/>
            </w:r>
            <w:r w:rsidR="00B47D85">
              <w:rPr>
                <w:noProof/>
                <w:webHidden/>
              </w:rPr>
              <w:fldChar w:fldCharType="begin"/>
            </w:r>
            <w:r w:rsidR="00B47D85">
              <w:rPr>
                <w:noProof/>
                <w:webHidden/>
              </w:rPr>
              <w:instrText xml:space="preserve"> PAGEREF _Toc499733494 \h </w:instrText>
            </w:r>
            <w:r w:rsidR="00B47D85">
              <w:rPr>
                <w:noProof/>
                <w:webHidden/>
              </w:rPr>
            </w:r>
            <w:r w:rsidR="00B47D85">
              <w:rPr>
                <w:noProof/>
                <w:webHidden/>
              </w:rPr>
              <w:fldChar w:fldCharType="separate"/>
            </w:r>
            <w:r w:rsidR="00B47D85">
              <w:rPr>
                <w:noProof/>
                <w:webHidden/>
              </w:rPr>
              <w:t>2</w:t>
            </w:r>
            <w:r w:rsidR="00B47D85">
              <w:rPr>
                <w:noProof/>
                <w:webHidden/>
              </w:rPr>
              <w:fldChar w:fldCharType="end"/>
            </w:r>
          </w:hyperlink>
        </w:p>
        <w:p w:rsidR="00E14670" w:rsidRDefault="00502027">
          <w:pPr>
            <w:pStyle w:val="TOC2"/>
            <w:tabs>
              <w:tab w:val="right" w:leader="dot" w:pos="9769"/>
            </w:tabs>
            <w:rPr>
              <w:rFonts w:asciiTheme="minorHAnsi" w:eastAsiaTheme="minorEastAsia" w:hAnsiTheme="minorHAnsi"/>
              <w:noProof/>
              <w:sz w:val="22"/>
              <w:lang w:eastAsia="en-GB"/>
            </w:rPr>
          </w:pPr>
          <w:hyperlink w:anchor="_Toc499733495" w:history="1">
            <w:r w:rsidR="00B47D85">
              <w:rPr>
                <w:rStyle w:val="Hyperlink"/>
                <w:noProof/>
              </w:rPr>
              <w:t>2. What is a subject access request?</w:t>
            </w:r>
            <w:r w:rsidR="00B47D85">
              <w:rPr>
                <w:noProof/>
                <w:webHidden/>
              </w:rPr>
              <w:tab/>
            </w:r>
            <w:r w:rsidR="00B47D85">
              <w:rPr>
                <w:noProof/>
                <w:webHidden/>
              </w:rPr>
              <w:fldChar w:fldCharType="begin"/>
            </w:r>
            <w:r w:rsidR="00B47D85">
              <w:rPr>
                <w:noProof/>
                <w:webHidden/>
              </w:rPr>
              <w:instrText xml:space="preserve"> PAGEREF _Toc499733495 \h </w:instrText>
            </w:r>
            <w:r w:rsidR="00B47D85">
              <w:rPr>
                <w:noProof/>
                <w:webHidden/>
              </w:rPr>
            </w:r>
            <w:r w:rsidR="00B47D85">
              <w:rPr>
                <w:noProof/>
                <w:webHidden/>
              </w:rPr>
              <w:fldChar w:fldCharType="separate"/>
            </w:r>
            <w:r w:rsidR="00B47D85">
              <w:rPr>
                <w:noProof/>
                <w:webHidden/>
              </w:rPr>
              <w:t>2</w:t>
            </w:r>
            <w:r w:rsidR="00B47D85">
              <w:rPr>
                <w:noProof/>
                <w:webHidden/>
              </w:rPr>
              <w:fldChar w:fldCharType="end"/>
            </w:r>
          </w:hyperlink>
        </w:p>
        <w:p w:rsidR="00E14670" w:rsidRDefault="00502027">
          <w:pPr>
            <w:pStyle w:val="TOC2"/>
            <w:tabs>
              <w:tab w:val="right" w:leader="dot" w:pos="9769"/>
            </w:tabs>
            <w:rPr>
              <w:rFonts w:asciiTheme="minorHAnsi" w:eastAsiaTheme="minorEastAsia" w:hAnsiTheme="minorHAnsi"/>
              <w:noProof/>
              <w:sz w:val="22"/>
              <w:lang w:eastAsia="en-GB"/>
            </w:rPr>
          </w:pPr>
          <w:hyperlink w:anchor="_Toc499733496" w:history="1">
            <w:r w:rsidR="00B47D85">
              <w:rPr>
                <w:rStyle w:val="Hyperlink"/>
                <w:noProof/>
              </w:rPr>
              <w:t>3. Subject Access Procedures</w:t>
            </w:r>
            <w:r w:rsidR="00B47D85">
              <w:rPr>
                <w:noProof/>
                <w:webHidden/>
              </w:rPr>
              <w:tab/>
            </w:r>
            <w:r w:rsidR="00B47D85">
              <w:rPr>
                <w:noProof/>
                <w:webHidden/>
              </w:rPr>
              <w:fldChar w:fldCharType="begin"/>
            </w:r>
            <w:r w:rsidR="00B47D85">
              <w:rPr>
                <w:noProof/>
                <w:webHidden/>
              </w:rPr>
              <w:instrText xml:space="preserve"> PAGEREF _Toc499733496 \h </w:instrText>
            </w:r>
            <w:r w:rsidR="00B47D85">
              <w:rPr>
                <w:noProof/>
                <w:webHidden/>
              </w:rPr>
            </w:r>
            <w:r w:rsidR="00B47D85">
              <w:rPr>
                <w:noProof/>
                <w:webHidden/>
              </w:rPr>
              <w:fldChar w:fldCharType="separate"/>
            </w:r>
            <w:r w:rsidR="00B47D85">
              <w:rPr>
                <w:noProof/>
                <w:webHidden/>
              </w:rPr>
              <w:t>3</w:t>
            </w:r>
            <w:r w:rsidR="00B47D85">
              <w:rPr>
                <w:noProof/>
                <w:webHidden/>
              </w:rPr>
              <w:fldChar w:fldCharType="end"/>
            </w:r>
          </w:hyperlink>
        </w:p>
        <w:p w:rsidR="00E14670" w:rsidRDefault="00502027">
          <w:pPr>
            <w:pStyle w:val="TOC2"/>
            <w:tabs>
              <w:tab w:val="right" w:leader="dot" w:pos="9769"/>
            </w:tabs>
            <w:rPr>
              <w:rFonts w:asciiTheme="minorHAnsi" w:eastAsiaTheme="minorEastAsia" w:hAnsiTheme="minorHAnsi"/>
              <w:noProof/>
              <w:sz w:val="22"/>
              <w:lang w:eastAsia="en-GB"/>
            </w:rPr>
          </w:pPr>
          <w:hyperlink w:anchor="_Toc499733497" w:history="1">
            <w:r w:rsidR="00B47D85">
              <w:rPr>
                <w:rStyle w:val="Hyperlink"/>
                <w:noProof/>
              </w:rPr>
              <w:t>4. Requests made on behalf of others</w:t>
            </w:r>
            <w:r w:rsidR="00B47D85">
              <w:rPr>
                <w:noProof/>
                <w:webHidden/>
              </w:rPr>
              <w:tab/>
            </w:r>
            <w:r w:rsidR="00B47D85">
              <w:rPr>
                <w:noProof/>
                <w:webHidden/>
              </w:rPr>
              <w:fldChar w:fldCharType="begin"/>
            </w:r>
            <w:r w:rsidR="00B47D85">
              <w:rPr>
                <w:noProof/>
                <w:webHidden/>
              </w:rPr>
              <w:instrText xml:space="preserve"> PAGEREF _Toc499733497 \h </w:instrText>
            </w:r>
            <w:r w:rsidR="00B47D85">
              <w:rPr>
                <w:noProof/>
                <w:webHidden/>
              </w:rPr>
            </w:r>
            <w:r w:rsidR="00B47D85">
              <w:rPr>
                <w:noProof/>
                <w:webHidden/>
              </w:rPr>
              <w:fldChar w:fldCharType="separate"/>
            </w:r>
            <w:r w:rsidR="00B47D85">
              <w:rPr>
                <w:noProof/>
                <w:webHidden/>
              </w:rPr>
              <w:t>3</w:t>
            </w:r>
            <w:r w:rsidR="00B47D85">
              <w:rPr>
                <w:noProof/>
                <w:webHidden/>
              </w:rPr>
              <w:fldChar w:fldCharType="end"/>
            </w:r>
          </w:hyperlink>
        </w:p>
        <w:p w:rsidR="00E14670" w:rsidRDefault="00502027">
          <w:pPr>
            <w:pStyle w:val="TOC2"/>
            <w:tabs>
              <w:tab w:val="right" w:leader="dot" w:pos="9769"/>
            </w:tabs>
            <w:rPr>
              <w:rFonts w:asciiTheme="minorHAnsi" w:eastAsiaTheme="minorEastAsia" w:hAnsiTheme="minorHAnsi"/>
              <w:noProof/>
              <w:sz w:val="22"/>
              <w:lang w:eastAsia="en-GB"/>
            </w:rPr>
          </w:pPr>
          <w:hyperlink w:anchor="_Toc499733498" w:history="1">
            <w:r w:rsidR="00B47D85">
              <w:rPr>
                <w:rStyle w:val="Hyperlink"/>
                <w:noProof/>
              </w:rPr>
              <w:t>5. Requests for information about children</w:t>
            </w:r>
            <w:r w:rsidR="00B47D85">
              <w:rPr>
                <w:noProof/>
                <w:webHidden/>
              </w:rPr>
              <w:tab/>
            </w:r>
            <w:r w:rsidR="00B47D85">
              <w:rPr>
                <w:noProof/>
                <w:webHidden/>
              </w:rPr>
              <w:fldChar w:fldCharType="begin"/>
            </w:r>
            <w:r w:rsidR="00B47D85">
              <w:rPr>
                <w:noProof/>
                <w:webHidden/>
              </w:rPr>
              <w:instrText xml:space="preserve"> PAGEREF _Toc499733498 \h </w:instrText>
            </w:r>
            <w:r w:rsidR="00B47D85">
              <w:rPr>
                <w:noProof/>
                <w:webHidden/>
              </w:rPr>
            </w:r>
            <w:r w:rsidR="00B47D85">
              <w:rPr>
                <w:noProof/>
                <w:webHidden/>
              </w:rPr>
              <w:fldChar w:fldCharType="separate"/>
            </w:r>
            <w:r w:rsidR="00B47D85">
              <w:rPr>
                <w:noProof/>
                <w:webHidden/>
              </w:rPr>
              <w:t>3</w:t>
            </w:r>
            <w:r w:rsidR="00B47D85">
              <w:rPr>
                <w:noProof/>
                <w:webHidden/>
              </w:rPr>
              <w:fldChar w:fldCharType="end"/>
            </w:r>
          </w:hyperlink>
        </w:p>
        <w:p w:rsidR="00E14670" w:rsidRDefault="00502027">
          <w:pPr>
            <w:pStyle w:val="TOC2"/>
            <w:tabs>
              <w:tab w:val="right" w:leader="dot" w:pos="9769"/>
            </w:tabs>
            <w:rPr>
              <w:rFonts w:asciiTheme="minorHAnsi" w:eastAsiaTheme="minorEastAsia" w:hAnsiTheme="minorHAnsi"/>
              <w:noProof/>
              <w:sz w:val="22"/>
              <w:lang w:eastAsia="en-GB"/>
            </w:rPr>
          </w:pPr>
          <w:hyperlink w:anchor="_Toc499733499" w:history="1">
            <w:r w:rsidR="00B47D85">
              <w:rPr>
                <w:rStyle w:val="Hyperlink"/>
                <w:noProof/>
              </w:rPr>
              <w:t>6. Editing information (exemptions)</w:t>
            </w:r>
            <w:r w:rsidR="00B47D85">
              <w:rPr>
                <w:noProof/>
                <w:webHidden/>
              </w:rPr>
              <w:tab/>
            </w:r>
            <w:r w:rsidR="00B47D85">
              <w:rPr>
                <w:noProof/>
                <w:webHidden/>
              </w:rPr>
              <w:fldChar w:fldCharType="begin"/>
            </w:r>
            <w:r w:rsidR="00B47D85">
              <w:rPr>
                <w:noProof/>
                <w:webHidden/>
              </w:rPr>
              <w:instrText xml:space="preserve"> PAGEREF _Toc499733499 \h </w:instrText>
            </w:r>
            <w:r w:rsidR="00B47D85">
              <w:rPr>
                <w:noProof/>
                <w:webHidden/>
              </w:rPr>
            </w:r>
            <w:r w:rsidR="00B47D85">
              <w:rPr>
                <w:noProof/>
                <w:webHidden/>
              </w:rPr>
              <w:fldChar w:fldCharType="separate"/>
            </w:r>
            <w:r w:rsidR="00B47D85">
              <w:rPr>
                <w:noProof/>
                <w:webHidden/>
              </w:rPr>
              <w:t>4</w:t>
            </w:r>
            <w:r w:rsidR="00B47D85">
              <w:rPr>
                <w:noProof/>
                <w:webHidden/>
              </w:rPr>
              <w:fldChar w:fldCharType="end"/>
            </w:r>
          </w:hyperlink>
        </w:p>
        <w:p w:rsidR="00E14670" w:rsidRDefault="00502027">
          <w:pPr>
            <w:pStyle w:val="TOC2"/>
            <w:tabs>
              <w:tab w:val="right" w:leader="dot" w:pos="9769"/>
            </w:tabs>
            <w:rPr>
              <w:rFonts w:asciiTheme="minorHAnsi" w:eastAsiaTheme="minorEastAsia" w:hAnsiTheme="minorHAnsi"/>
              <w:noProof/>
              <w:sz w:val="22"/>
              <w:lang w:eastAsia="en-GB"/>
            </w:rPr>
          </w:pPr>
          <w:hyperlink w:anchor="_Toc499733500" w:history="1">
            <w:r w:rsidR="00B47D85">
              <w:rPr>
                <w:rStyle w:val="Hyperlink"/>
                <w:noProof/>
              </w:rPr>
              <w:t>7. School Office visits</w:t>
            </w:r>
            <w:r w:rsidR="00B47D85">
              <w:rPr>
                <w:noProof/>
                <w:webHidden/>
              </w:rPr>
              <w:tab/>
            </w:r>
            <w:r w:rsidR="00B47D85">
              <w:rPr>
                <w:noProof/>
                <w:webHidden/>
              </w:rPr>
              <w:fldChar w:fldCharType="begin"/>
            </w:r>
            <w:r w:rsidR="00B47D85">
              <w:rPr>
                <w:noProof/>
                <w:webHidden/>
              </w:rPr>
              <w:instrText xml:space="preserve"> PAGEREF _Toc499733500 \h </w:instrText>
            </w:r>
            <w:r w:rsidR="00B47D85">
              <w:rPr>
                <w:noProof/>
                <w:webHidden/>
              </w:rPr>
            </w:r>
            <w:r w:rsidR="00B47D85">
              <w:rPr>
                <w:noProof/>
                <w:webHidden/>
              </w:rPr>
              <w:fldChar w:fldCharType="separate"/>
            </w:r>
            <w:r w:rsidR="00B47D85">
              <w:rPr>
                <w:noProof/>
                <w:webHidden/>
              </w:rPr>
              <w:t>4</w:t>
            </w:r>
            <w:r w:rsidR="00B47D85">
              <w:rPr>
                <w:noProof/>
                <w:webHidden/>
              </w:rPr>
              <w:fldChar w:fldCharType="end"/>
            </w:r>
          </w:hyperlink>
        </w:p>
        <w:p w:rsidR="00E14670" w:rsidRDefault="00B47D85">
          <w:r>
            <w:rPr>
              <w:b/>
              <w:bCs/>
              <w:noProof/>
            </w:rPr>
            <w:fldChar w:fldCharType="end"/>
          </w:r>
        </w:p>
      </w:sdtContent>
    </w:sdt>
    <w:p w:rsidR="00E14670" w:rsidRDefault="00B47D85">
      <w:pPr>
        <w:sectPr w:rsidR="00E14670">
          <w:footerReference w:type="default" r:id="rId12"/>
          <w:pgSz w:w="11906" w:h="16838"/>
          <w:pgMar w:top="851" w:right="993" w:bottom="1440" w:left="1134" w:header="708" w:footer="708" w:gutter="0"/>
          <w:pgNumType w:start="1"/>
          <w:cols w:space="708"/>
          <w:docGrid w:linePitch="360"/>
        </w:sectPr>
      </w:pPr>
      <w:r>
        <w:br w:type="page"/>
      </w:r>
    </w:p>
    <w:p w:rsidR="00E14670" w:rsidRDefault="00B47D85">
      <w:pPr>
        <w:pStyle w:val="Heading2"/>
      </w:pPr>
      <w:bookmarkStart w:id="4" w:name="_Toc499733494"/>
      <w:r>
        <w:lastRenderedPageBreak/>
        <w:t>1.The General Data Protection Regulation</w:t>
      </w:r>
      <w:bookmarkEnd w:id="4"/>
      <w:r>
        <w:t xml:space="preserve"> </w:t>
      </w:r>
    </w:p>
    <w:p w:rsidR="00E14670" w:rsidRDefault="00B47D85">
      <w:pPr>
        <w:rPr>
          <w:color w:val="000000" w:themeColor="text1"/>
          <w:lang w:val="en" w:eastAsia="en-GB"/>
        </w:rPr>
      </w:pPr>
      <w:r>
        <w:rPr>
          <w:color w:val="000000" w:themeColor="text1"/>
          <w:lang w:val="en" w:eastAsia="en-GB"/>
        </w:rPr>
        <w:t xml:space="preserve">The General Data Protection Regulation (GDPR) regulates the processing of ‘personal data’. </w:t>
      </w:r>
    </w:p>
    <w:p w:rsidR="00E14670" w:rsidRDefault="00B47D85">
      <w:pPr>
        <w:rPr>
          <w:color w:val="000000" w:themeColor="text1"/>
          <w:lang w:val="en" w:eastAsia="en-GB"/>
        </w:rPr>
      </w:pPr>
      <w:r>
        <w:rPr>
          <w:color w:val="000000" w:themeColor="text1"/>
          <w:lang w:val="en" w:eastAsia="en-GB"/>
        </w:rPr>
        <w:t xml:space="preserve">Personal data is information that relates to a living individual which allows that individual to be identified from that information (or that information with other information likely to come into the organisation’s possession). </w:t>
      </w:r>
    </w:p>
    <w:p w:rsidR="00E14670" w:rsidRDefault="00A044AA">
      <w:pPr>
        <w:rPr>
          <w:color w:val="2E74B5" w:themeColor="accent1" w:themeShade="BF"/>
          <w:lang w:val="en" w:eastAsia="en-GB"/>
        </w:rPr>
      </w:pPr>
      <w:r w:rsidRPr="00A044AA">
        <w:rPr>
          <w:color w:val="000000" w:themeColor="text1"/>
          <w:lang w:val="en" w:eastAsia="en-GB"/>
        </w:rPr>
        <w:t>Cam Woodfield Infant School</w:t>
      </w:r>
      <w:r w:rsidR="00B47D85" w:rsidRPr="00A044AA">
        <w:rPr>
          <w:color w:val="000000" w:themeColor="text1"/>
          <w:lang w:val="en" w:eastAsia="en-GB"/>
        </w:rPr>
        <w:t xml:space="preserve"> is </w:t>
      </w:r>
      <w:r w:rsidR="00B47D85">
        <w:rPr>
          <w:color w:val="000000" w:themeColor="text1"/>
          <w:lang w:val="en" w:eastAsia="en-GB"/>
        </w:rPr>
        <w:t xml:space="preserve">a Data Controller as it determines the purposes, and the way in which personal data is processed. </w:t>
      </w:r>
    </w:p>
    <w:p w:rsidR="00E14670" w:rsidRDefault="00B47D85">
      <w:pPr>
        <w:rPr>
          <w:color w:val="000000" w:themeColor="text1"/>
          <w:lang w:val="en" w:eastAsia="en-GB"/>
        </w:rPr>
      </w:pPr>
      <w:r>
        <w:rPr>
          <w:color w:val="000000" w:themeColor="text1"/>
          <w:lang w:val="en" w:eastAsia="en-GB"/>
        </w:rPr>
        <w:t xml:space="preserve">The GDPR provides individuals with certain rights, one of which enables individuals to find out what personal data is held, why it is held and who it is disclosed to. This right, is commonly known as subject access, and is set out in Article 15 of the GDPR. Individuals may exercise the right by making a ‘subject access request’ (SAR). </w:t>
      </w:r>
    </w:p>
    <w:p w:rsidR="00E14670" w:rsidRDefault="00B47D85">
      <w:pPr>
        <w:pStyle w:val="Heading2"/>
      </w:pPr>
      <w:bookmarkStart w:id="5" w:name="_Toc499733495"/>
      <w:r>
        <w:t>2. What is a subject access request?</w:t>
      </w:r>
      <w:bookmarkEnd w:id="5"/>
      <w:r>
        <w:t xml:space="preserve"> </w:t>
      </w:r>
    </w:p>
    <w:p w:rsidR="00E14670" w:rsidRDefault="00B47D85">
      <w:pPr>
        <w:rPr>
          <w:color w:val="000000" w:themeColor="text1"/>
          <w:lang w:val="en" w:eastAsia="en-GB"/>
        </w:rPr>
      </w:pPr>
      <w:r>
        <w:rPr>
          <w:color w:val="000000" w:themeColor="text1"/>
          <w:lang w:val="en" w:eastAsia="en-GB"/>
        </w:rPr>
        <w:t xml:space="preserve">A Subject Access Request (SAR) is simply a written request made by or on behalf of an individual for the information which he or she is entitled to ask for under Articles 12 and 15 of the GDPR. The request does not have to be in any particular form, nor does it have to include the words ‘subject access’ or make any reference to the GDPR. </w:t>
      </w:r>
    </w:p>
    <w:p w:rsidR="00E14670" w:rsidRDefault="00B47D85">
      <w:pPr>
        <w:rPr>
          <w:color w:val="000000" w:themeColor="text1"/>
          <w:lang w:val="en" w:eastAsia="en-GB"/>
        </w:rPr>
      </w:pPr>
      <w:r>
        <w:rPr>
          <w:color w:val="000000" w:themeColor="text1"/>
          <w:lang w:val="en" w:eastAsia="en-GB"/>
        </w:rPr>
        <w:t xml:space="preserve">These requests are most often made by individuals who want to see a copy of the information an organisation holds about them. However, except where an exemption applies subject access entitles an individual to be: </w:t>
      </w:r>
    </w:p>
    <w:p w:rsidR="00E14670" w:rsidRDefault="00B47D85">
      <w:pPr>
        <w:pStyle w:val="NoSpacing"/>
        <w:numPr>
          <w:ilvl w:val="0"/>
          <w:numId w:val="40"/>
        </w:numPr>
        <w:rPr>
          <w:lang w:val="en" w:eastAsia="en-GB"/>
        </w:rPr>
      </w:pPr>
      <w:r>
        <w:rPr>
          <w:lang w:val="en" w:eastAsia="en-GB"/>
        </w:rPr>
        <w:t xml:space="preserve">told whether any personal data is being processed; </w:t>
      </w:r>
    </w:p>
    <w:p w:rsidR="00E14670" w:rsidRDefault="00B47D85">
      <w:pPr>
        <w:pStyle w:val="NoSpacing"/>
        <w:numPr>
          <w:ilvl w:val="0"/>
          <w:numId w:val="40"/>
        </w:numPr>
        <w:rPr>
          <w:lang w:val="en" w:eastAsia="en-GB"/>
        </w:rPr>
      </w:pPr>
      <w:r>
        <w:rPr>
          <w:lang w:val="en" w:eastAsia="en-GB"/>
        </w:rPr>
        <w:t xml:space="preserve">given a description of the personal data, the reasons it is being processed, and whether it will be given to any other organisations or people; </w:t>
      </w:r>
    </w:p>
    <w:p w:rsidR="00E14670" w:rsidRDefault="00B47D85">
      <w:pPr>
        <w:pStyle w:val="NoSpacing"/>
        <w:numPr>
          <w:ilvl w:val="0"/>
          <w:numId w:val="40"/>
        </w:numPr>
        <w:rPr>
          <w:lang w:val="en" w:eastAsia="en-GB"/>
        </w:rPr>
      </w:pPr>
      <w:r>
        <w:rPr>
          <w:lang w:val="en" w:eastAsia="en-GB"/>
        </w:rPr>
        <w:t xml:space="preserve">given details of the source of the data (where this is available). </w:t>
      </w:r>
    </w:p>
    <w:p w:rsidR="00E14670" w:rsidRDefault="00B47D85">
      <w:pPr>
        <w:rPr>
          <w:color w:val="000000" w:themeColor="text1"/>
          <w:lang w:val="en" w:eastAsia="en-GB"/>
        </w:rPr>
      </w:pPr>
      <w:r>
        <w:rPr>
          <w:color w:val="000000" w:themeColor="text1"/>
          <w:lang w:val="en" w:eastAsia="en-GB"/>
        </w:rPr>
        <w:t>Subject access provides a right to see the personal information or a right to have copies of the documents that include that information. If the request is made electronically, you should provide the information in a commonly used electronic format.</w:t>
      </w:r>
    </w:p>
    <w:p w:rsidR="00E14670" w:rsidRDefault="00B47D85">
      <w:pPr>
        <w:rPr>
          <w:color w:val="2E74B5" w:themeColor="accent1" w:themeShade="BF"/>
          <w:lang w:val="en" w:eastAsia="en-GB"/>
        </w:rPr>
      </w:pPr>
      <w:r>
        <w:rPr>
          <w:color w:val="2E74B5" w:themeColor="accent1" w:themeShade="BF"/>
          <w:lang w:val="en" w:eastAsia="en-GB"/>
        </w:rPr>
        <w:t xml:space="preserve">  </w:t>
      </w:r>
    </w:p>
    <w:p w:rsidR="00E14670" w:rsidRDefault="00B47D85">
      <w:pPr>
        <w:rPr>
          <w:b/>
          <w:color w:val="000000" w:themeColor="text1"/>
          <w:lang w:val="en" w:eastAsia="en-GB"/>
        </w:rPr>
      </w:pPr>
      <w:r>
        <w:rPr>
          <w:b/>
          <w:color w:val="000000" w:themeColor="text1"/>
          <w:lang w:val="en" w:eastAsia="en-GB"/>
        </w:rPr>
        <w:t xml:space="preserve">Formal requirements </w:t>
      </w:r>
    </w:p>
    <w:p w:rsidR="00E14670" w:rsidRDefault="00B47D85">
      <w:pPr>
        <w:rPr>
          <w:color w:val="000000" w:themeColor="text1"/>
          <w:lang w:val="en" w:eastAsia="en-GB"/>
        </w:rPr>
      </w:pPr>
      <w:r>
        <w:rPr>
          <w:color w:val="000000" w:themeColor="text1"/>
          <w:lang w:val="en" w:eastAsia="en-GB"/>
        </w:rPr>
        <w:t xml:space="preserve">A Subject Access Request (SAR) must be in writing. The school has a Subject Access Request form and a Data Protection Policy, both of which are available from our website. </w:t>
      </w:r>
    </w:p>
    <w:p w:rsidR="00E14670" w:rsidRDefault="00B47D85">
      <w:pPr>
        <w:rPr>
          <w:color w:val="000000" w:themeColor="text1"/>
          <w:lang w:val="en" w:eastAsia="en-GB"/>
        </w:rPr>
      </w:pPr>
      <w:r>
        <w:rPr>
          <w:color w:val="000000" w:themeColor="text1"/>
          <w:lang w:val="en" w:eastAsia="en-GB"/>
        </w:rPr>
        <w:t xml:space="preserve">Although, the form may make it easier for an individual to ensure they include all the information that we need there is no requirement for them to use this form. Requests may also be received via email, fax, letter etc. Although an individual’s request for information may begin in any form such as telephone, verbal conversation; an actionable request must be in writing. Adults and children who can understand their subject access rights can apply to the school for their personal information. The form also allows official representatives to apply on behalf of vulnerable or less able applicants (see section on requests made on behalf of others and requests for information about children). </w:t>
      </w:r>
    </w:p>
    <w:p w:rsidR="00E14670" w:rsidRDefault="00B47D85">
      <w:pPr>
        <w:rPr>
          <w:color w:val="000000" w:themeColor="text1"/>
          <w:lang w:val="en" w:eastAsia="en-GB"/>
        </w:rPr>
      </w:pPr>
      <w:r>
        <w:rPr>
          <w:color w:val="000000" w:themeColor="text1"/>
          <w:lang w:val="en" w:eastAsia="en-GB"/>
        </w:rPr>
        <w:t xml:space="preserve">To avoid personal data about one individual being sent to someone who is not entitled to it, the school need to be satisfied that they know the identity of the applicant. Enough information should be requested to confirm the individual’s identity, however this must be </w:t>
      </w:r>
      <w:r>
        <w:rPr>
          <w:color w:val="000000" w:themeColor="text1"/>
          <w:lang w:val="en" w:eastAsia="en-GB"/>
        </w:rPr>
        <w:lastRenderedPageBreak/>
        <w:t xml:space="preserve">reasonable especially in situations where the individual is known to the school through ongoing contact. </w:t>
      </w:r>
    </w:p>
    <w:p w:rsidR="00E14670" w:rsidRDefault="00B47D85">
      <w:pPr>
        <w:rPr>
          <w:color w:val="000000" w:themeColor="text1"/>
          <w:lang w:val="en" w:eastAsia="en-GB"/>
        </w:rPr>
      </w:pPr>
      <w:r>
        <w:rPr>
          <w:color w:val="000000" w:themeColor="text1"/>
          <w:lang w:val="en" w:eastAsia="en-GB"/>
        </w:rPr>
        <w:t>Subject Access Requests to the school are free under GDPR.</w:t>
      </w:r>
    </w:p>
    <w:p w:rsidR="00E14670" w:rsidRDefault="00B47D85">
      <w:pPr>
        <w:rPr>
          <w:color w:val="000000" w:themeColor="text1"/>
          <w:lang w:val="en" w:eastAsia="en-GB"/>
        </w:rPr>
      </w:pPr>
      <w:r>
        <w:rPr>
          <w:color w:val="000000" w:themeColor="text1"/>
          <w:lang w:val="en" w:eastAsia="en-GB"/>
        </w:rPr>
        <w:t xml:space="preserve">The statutory response time is one month for all data controllers. </w:t>
      </w:r>
    </w:p>
    <w:p w:rsidR="00E14670" w:rsidRDefault="00B47D85">
      <w:pPr>
        <w:pStyle w:val="Heading2"/>
      </w:pPr>
      <w:bookmarkStart w:id="6" w:name="_Toc499733496"/>
      <w:r>
        <w:t>3. Subject Access Procedures</w:t>
      </w:r>
      <w:bookmarkEnd w:id="6"/>
      <w:r>
        <w:t xml:space="preserve"> </w:t>
      </w:r>
    </w:p>
    <w:p w:rsidR="00E14670" w:rsidRDefault="00B47D85">
      <w:pPr>
        <w:rPr>
          <w:color w:val="000000" w:themeColor="text1"/>
          <w:lang w:val="en" w:eastAsia="en-GB"/>
        </w:rPr>
      </w:pPr>
      <w:r>
        <w:rPr>
          <w:color w:val="000000" w:themeColor="text1"/>
          <w:lang w:val="en" w:eastAsia="en-GB"/>
        </w:rPr>
        <w:t xml:space="preserve">When a SAR is received which meets the formal requirements above, the one month response begins to run. This one month deadline is set by the GDPR, however in all cases the school should respond promptly. </w:t>
      </w:r>
    </w:p>
    <w:p w:rsidR="00E14670" w:rsidRDefault="00B47D85">
      <w:pPr>
        <w:rPr>
          <w:color w:val="000000" w:themeColor="text1"/>
          <w:lang w:val="en" w:eastAsia="en-GB"/>
        </w:rPr>
      </w:pPr>
      <w:r>
        <w:rPr>
          <w:color w:val="000000" w:themeColor="text1"/>
          <w:lang w:val="en" w:eastAsia="en-GB"/>
        </w:rPr>
        <w:t xml:space="preserve">On receipt of subject access request, it may be more appropriate for staff members to try to satisfy the request informally by telephone, perhaps when individuals are requesting copies of documents which have previously been provided or should have been provided. </w:t>
      </w:r>
    </w:p>
    <w:p w:rsidR="00E14670" w:rsidRDefault="00B47D85">
      <w:pPr>
        <w:rPr>
          <w:color w:val="000000" w:themeColor="text1"/>
          <w:lang w:val="en" w:eastAsia="en-GB"/>
        </w:rPr>
      </w:pPr>
      <w:r>
        <w:rPr>
          <w:color w:val="000000" w:themeColor="text1"/>
          <w:lang w:val="en" w:eastAsia="en-GB"/>
        </w:rPr>
        <w:t xml:space="preserve">Before responding to a subject access request, staff may ask the applicant for information that is reasonably required to find the personal data that they are seeking. Staff are not required to comply with the request until this information is received, however there shouldn’t be an unreasonable delay in seeking clarification. </w:t>
      </w:r>
    </w:p>
    <w:p w:rsidR="00E14670" w:rsidRDefault="00B47D85">
      <w:pPr>
        <w:rPr>
          <w:color w:val="000000" w:themeColor="text1"/>
          <w:lang w:val="en" w:eastAsia="en-GB"/>
        </w:rPr>
      </w:pPr>
      <w:r>
        <w:rPr>
          <w:color w:val="000000" w:themeColor="text1"/>
          <w:lang w:val="en" w:eastAsia="en-GB"/>
        </w:rPr>
        <w:t xml:space="preserve">Upon receipt of a subject access response, an individual may wish to contact the school. If they remain dissatisfied following this they may also contact the Information Commissioner’s Office at any time if they are not satisfied with their response, or the way their request has been handled, although they may ask the school to resolve these concerns directly in the first instance. </w:t>
      </w:r>
    </w:p>
    <w:p w:rsidR="00E14670" w:rsidRDefault="00B47D85">
      <w:pPr>
        <w:rPr>
          <w:color w:val="000000" w:themeColor="text1"/>
          <w:lang w:val="en" w:eastAsia="en-GB"/>
        </w:rPr>
      </w:pPr>
      <w:r>
        <w:rPr>
          <w:color w:val="000000" w:themeColor="text1"/>
          <w:lang w:val="en" w:eastAsia="en-GB"/>
        </w:rPr>
        <w:t xml:space="preserve">A detailed record of the contents of subject access replies should be kept for 7 years. This record should include the information that was disclosed, and where necessary the exemptions that were used where information was not provided. </w:t>
      </w:r>
    </w:p>
    <w:p w:rsidR="00E14670" w:rsidRDefault="00B47D85">
      <w:pPr>
        <w:pStyle w:val="Heading2"/>
      </w:pPr>
      <w:bookmarkStart w:id="7" w:name="_Toc499733497"/>
      <w:r>
        <w:t>4. Requests made on behalf of others</w:t>
      </w:r>
      <w:bookmarkEnd w:id="7"/>
      <w:r>
        <w:t xml:space="preserve"> </w:t>
      </w:r>
    </w:p>
    <w:p w:rsidR="00E14670" w:rsidRDefault="00B47D85">
      <w:pPr>
        <w:rPr>
          <w:color w:val="000000" w:themeColor="text1"/>
          <w:lang w:val="en" w:eastAsia="en-GB"/>
        </w:rPr>
      </w:pPr>
      <w:r>
        <w:rPr>
          <w:color w:val="000000" w:themeColor="text1"/>
          <w:lang w:val="en" w:eastAsia="en-GB"/>
        </w:rPr>
        <w:t xml:space="preserve">The GDPR does not prevent an individual making a subject access request via a third party. Often, this will be a solicitor acting on behalf of a client. In these cases, you need to be satisfied that the third party making the request is entitled to act on behalf of the individual, but it is the third party’s responsibility to provide evidence of this entitlement. This might be a written authority or might be a more general power of attorney. </w:t>
      </w:r>
    </w:p>
    <w:p w:rsidR="00E14670" w:rsidRDefault="00B47D85">
      <w:pPr>
        <w:rPr>
          <w:color w:val="2E74B5" w:themeColor="accent1" w:themeShade="BF"/>
          <w:lang w:val="en" w:eastAsia="en-GB"/>
        </w:rPr>
      </w:pPr>
      <w:r>
        <w:rPr>
          <w:color w:val="000000" w:themeColor="text1"/>
          <w:lang w:val="en" w:eastAsia="en-GB"/>
        </w:rPr>
        <w:t xml:space="preserve">When a SAR is received from a Law firm, staff must ensure that the request letter confirms that the school will not be a party to the claim. If the school is a party, the matter should be sent </w:t>
      </w:r>
      <w:r w:rsidRPr="00A044AA">
        <w:rPr>
          <w:color w:val="000000" w:themeColor="text1"/>
          <w:lang w:val="en" w:eastAsia="en-GB"/>
        </w:rPr>
        <w:t xml:space="preserve">directly to the Risk Management &amp; Insurance Team for their advice. </w:t>
      </w:r>
      <w:r>
        <w:rPr>
          <w:color w:val="000000" w:themeColor="text1"/>
          <w:lang w:val="en" w:eastAsia="en-GB"/>
        </w:rPr>
        <w:t xml:space="preserve">The request letter must also include a signed consent or release form from the client. The information disclosed should be exactly as outlined in the client's consent form. Information must not be released without the client's consent form. </w:t>
      </w:r>
    </w:p>
    <w:p w:rsidR="00E14670" w:rsidRDefault="00B47D85">
      <w:pPr>
        <w:pStyle w:val="Heading2"/>
      </w:pPr>
      <w:bookmarkStart w:id="8" w:name="_Toc499733498"/>
      <w:r>
        <w:t>5. Requests for information about children</w:t>
      </w:r>
      <w:bookmarkEnd w:id="8"/>
    </w:p>
    <w:p w:rsidR="00E14670" w:rsidRDefault="00B47D85">
      <w:pPr>
        <w:rPr>
          <w:rFonts w:cstheme="majorBidi"/>
          <w:sz w:val="36"/>
          <w:szCs w:val="36"/>
        </w:rPr>
      </w:pPr>
      <w:r>
        <w:t>Pupils attending any type of school have a right of access under the GDPR to their own information. When a child cannot act for themselves or the child gives permission, parents will be able to access this information on their behalf.</w:t>
      </w:r>
    </w:p>
    <w:p w:rsidR="00E14670" w:rsidRDefault="00B47D85">
      <w:pPr>
        <w:pStyle w:val="NormalWeb"/>
        <w:rPr>
          <w:rFonts w:ascii="Arial" w:hAnsi="Arial" w:cs="Arial"/>
          <w:lang w:val="en"/>
        </w:rPr>
      </w:pPr>
      <w:r>
        <w:rPr>
          <w:rFonts w:ascii="Arial" w:hAnsi="Arial" w:cs="Arial"/>
          <w:lang w:val="en"/>
        </w:rPr>
        <w:t xml:space="preserve">Parents have an independent right of access to their child’s educational record, under separate education regulations. This covers information that comes from a teacher or other </w:t>
      </w:r>
      <w:r>
        <w:rPr>
          <w:rFonts w:ascii="Arial" w:hAnsi="Arial" w:cs="Arial"/>
          <w:lang w:val="en"/>
        </w:rPr>
        <w:lastRenderedPageBreak/>
        <w:t>employee of a local authority or school, the pupil or a parent, and is processed by or for the school’s governing body or teacher, except for information the teacher has solely for their own use. It will cover information such as the records of the pupil’s academic achievements as well as correspondence from teachers, local education authority employees and educational psychologists engaged by the school’s governing body. It may also include information from the child and from a parent. Information provided by the parent of another child would not form part of a child’s educational record.</w:t>
      </w:r>
    </w:p>
    <w:p w:rsidR="00E14670" w:rsidRDefault="00B47D85">
      <w:pPr>
        <w:pStyle w:val="NormalWeb"/>
        <w:rPr>
          <w:rFonts w:ascii="Arial" w:hAnsi="Arial" w:cs="Arial"/>
          <w:lang w:val="en"/>
        </w:rPr>
      </w:pPr>
      <w:r>
        <w:rPr>
          <w:rFonts w:ascii="Arial" w:hAnsi="Arial" w:cs="Arial"/>
          <w:lang w:val="en"/>
        </w:rPr>
        <w:t xml:space="preserve">A request for an educational record must receive a response within 15 school days.  The school can charge what it costs to supply a copy of the information. It is free for a parent to </w:t>
      </w:r>
      <w:r>
        <w:rPr>
          <w:rFonts w:ascii="Arial" w:hAnsi="Arial" w:cs="Arial"/>
          <w:b/>
          <w:lang w:val="en"/>
        </w:rPr>
        <w:t>view</w:t>
      </w:r>
      <w:r>
        <w:rPr>
          <w:rFonts w:ascii="Arial" w:hAnsi="Arial" w:cs="Arial"/>
          <w:lang w:val="en"/>
        </w:rPr>
        <w:t xml:space="preserve"> the educational record. </w:t>
      </w:r>
    </w:p>
    <w:p w:rsidR="00E14670" w:rsidRDefault="00B47D85">
      <w:pPr>
        <w:pStyle w:val="NormalWeb"/>
        <w:rPr>
          <w:rFonts w:ascii="Arial" w:hAnsi="Arial" w:cs="Arial"/>
          <w:lang w:val="en"/>
        </w:rPr>
      </w:pPr>
      <w:r>
        <w:rPr>
          <w:rFonts w:ascii="Arial" w:hAnsi="Arial" w:cs="Arial"/>
          <w:lang w:val="en"/>
        </w:rPr>
        <w:t>There are certain circumstances where the school can withhold an educational record; for example, where the information might cause serious harm to the physical or mental health of the pupil or another individual. The request for access would also be denied if it would mean releasing examination marks before they are officially announced.</w:t>
      </w:r>
    </w:p>
    <w:p w:rsidR="00E14670" w:rsidRDefault="00B47D85">
      <w:pPr>
        <w:pStyle w:val="NormalWeb"/>
        <w:rPr>
          <w:rFonts w:ascii="Arial" w:hAnsi="Arial" w:cs="Arial"/>
          <w:lang w:val="en"/>
        </w:rPr>
      </w:pPr>
      <w:r>
        <w:rPr>
          <w:rFonts w:ascii="Arial" w:hAnsi="Arial" w:cs="Arial"/>
          <w:lang w:val="en"/>
        </w:rPr>
        <w:t>A parent can access all the other information about their child if their child is unable to act on their own behalf or gives their permission. As a general guide, a child of 12 or older is expected to be mature enough to make this kind of request.</w:t>
      </w:r>
    </w:p>
    <w:p w:rsidR="00E14670" w:rsidRDefault="00B47D85">
      <w:pPr>
        <w:pStyle w:val="Heading2"/>
      </w:pPr>
      <w:bookmarkStart w:id="9" w:name="_Toc499733499"/>
      <w:r>
        <w:t>6. Editing information (exemptions)</w:t>
      </w:r>
      <w:bookmarkEnd w:id="9"/>
      <w:r>
        <w:t xml:space="preserve"> </w:t>
      </w:r>
    </w:p>
    <w:p w:rsidR="00E14670" w:rsidRDefault="00B47D85">
      <w:pPr>
        <w:rPr>
          <w:color w:val="000000" w:themeColor="text1"/>
          <w:lang w:val="en" w:eastAsia="en-GB"/>
        </w:rPr>
      </w:pPr>
      <w:r>
        <w:rPr>
          <w:color w:val="000000" w:themeColor="text1"/>
          <w:lang w:val="en" w:eastAsia="en-GB"/>
        </w:rPr>
        <w:t xml:space="preserve">Some types of personal information are exempt from the right of subject access. Information may be exempt because of its nature or because the effect that its disclosure would have. There are also restrictions where this would involve disclosing information about another individual (third parties). </w:t>
      </w:r>
    </w:p>
    <w:p w:rsidR="00E14670" w:rsidRDefault="00B47D85">
      <w:pPr>
        <w:rPr>
          <w:color w:val="000000" w:themeColor="text1"/>
          <w:lang w:val="en" w:eastAsia="en-GB"/>
        </w:rPr>
      </w:pPr>
      <w:r>
        <w:rPr>
          <w:color w:val="000000" w:themeColor="text1"/>
          <w:lang w:val="en" w:eastAsia="en-GB"/>
        </w:rPr>
        <w:t xml:space="preserve">If third parties are included in material to be released, a balancing of interests between the applicant and the third party should be carried out. The third party’s views on the release of this information to the applicant may be sought. If, as a result of this consultation, information is to be edited it should be kept to a minimum and the context of information should always be retained where possible. </w:t>
      </w:r>
    </w:p>
    <w:p w:rsidR="00E14670" w:rsidRDefault="00B47D85">
      <w:pPr>
        <w:rPr>
          <w:color w:val="000000" w:themeColor="text1"/>
          <w:lang w:val="en" w:eastAsia="en-GB"/>
        </w:rPr>
      </w:pPr>
      <w:r>
        <w:rPr>
          <w:color w:val="000000" w:themeColor="text1"/>
          <w:lang w:val="en" w:eastAsia="en-GB"/>
        </w:rPr>
        <w:t xml:space="preserve">Decisions about disclosing third party information should be made on a case by case basis. It may be necessary to seek legal advice where appropriate. </w:t>
      </w:r>
    </w:p>
    <w:p w:rsidR="00E14670" w:rsidRDefault="00B47D85">
      <w:pPr>
        <w:pStyle w:val="Heading2"/>
      </w:pPr>
      <w:bookmarkStart w:id="10" w:name="_Toc499733500"/>
      <w:r>
        <w:t>7. School Office visits</w:t>
      </w:r>
      <w:bookmarkEnd w:id="10"/>
    </w:p>
    <w:p w:rsidR="00E14670" w:rsidRDefault="00B47D85">
      <w:pPr>
        <w:rPr>
          <w:color w:val="2E74B5" w:themeColor="accent1" w:themeShade="BF"/>
          <w:lang w:val="en" w:eastAsia="en-GB"/>
        </w:rPr>
      </w:pPr>
      <w:r>
        <w:rPr>
          <w:color w:val="000000" w:themeColor="text1"/>
          <w:lang w:val="en" w:eastAsia="en-GB"/>
        </w:rPr>
        <w:t xml:space="preserve">Applicants may be encouraged to visit the school offices to view the information they have requested. If this is to occur, </w:t>
      </w:r>
      <w:r w:rsidRPr="00A044AA">
        <w:rPr>
          <w:color w:val="000000" w:themeColor="text1"/>
          <w:lang w:val="en" w:eastAsia="en-GB"/>
        </w:rPr>
        <w:t xml:space="preserve">the Head Teacher </w:t>
      </w:r>
      <w:r>
        <w:rPr>
          <w:color w:val="000000" w:themeColor="text1"/>
          <w:lang w:val="en" w:eastAsia="en-GB"/>
        </w:rPr>
        <w:t xml:space="preserve">must first view the documents and consider whether the information can be released or whether an exemption may apply. The applicant should also be accompanied by an appropriate member of staff so that information can be explained and clarified. Office visits should be carried out within the statutory time limit and the visit documented. A reference should be kept on the database to the information that was viewed. </w:t>
      </w:r>
      <w:r>
        <w:rPr>
          <w:color w:val="2E74B5" w:themeColor="accent1" w:themeShade="BF"/>
          <w:lang w:val="en" w:eastAsia="en-GB"/>
        </w:rPr>
        <w:t xml:space="preserve"> </w:t>
      </w:r>
    </w:p>
    <w:sectPr w:rsidR="00E14670">
      <w:pgSz w:w="11906" w:h="16838"/>
      <w:pgMar w:top="851" w:right="99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027" w:rsidRDefault="00502027">
      <w:pPr>
        <w:spacing w:after="0" w:line="240" w:lineRule="auto"/>
      </w:pPr>
      <w:r>
        <w:separator/>
      </w:r>
    </w:p>
  </w:endnote>
  <w:endnote w:type="continuationSeparator" w:id="0">
    <w:p w:rsidR="00502027" w:rsidRDefault="00502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3"/>
      <w:gridCol w:w="3066"/>
      <w:gridCol w:w="2734"/>
      <w:gridCol w:w="1499"/>
    </w:tblGrid>
    <w:tr w:rsidR="00E14670">
      <w:tc>
        <w:tcPr>
          <w:tcW w:w="4219" w:type="dxa"/>
        </w:tcPr>
        <w:p w:rsidR="00E14670" w:rsidRDefault="00502027">
          <w:pPr>
            <w:pStyle w:val="NormalWeb"/>
            <w:jc w:val="right"/>
            <w:rPr>
              <w:rFonts w:ascii="Arial" w:hAnsi="Arial" w:cs="Arial"/>
            </w:rPr>
          </w:pPr>
          <w:hyperlink r:id="rId1" w:history="1">
            <w:r w:rsidR="00B47D85">
              <w:rPr>
                <w:rStyle w:val="Hyperlink"/>
                <w:rFonts w:ascii="Arial" w:hAnsi="Arial" w:cs="Arial"/>
              </w:rPr>
              <w:t>info@integra.co.uk</w:t>
            </w:r>
          </w:hyperlink>
          <w:r w:rsidR="00B47D85">
            <w:rPr>
              <w:rFonts w:ascii="Arial" w:hAnsi="Arial" w:cs="Arial"/>
            </w:rPr>
            <w:t xml:space="preserve"> </w:t>
          </w:r>
        </w:p>
      </w:tc>
      <w:tc>
        <w:tcPr>
          <w:tcW w:w="4536" w:type="dxa"/>
        </w:tcPr>
        <w:p w:rsidR="00E14670" w:rsidRDefault="00B47D85">
          <w:pPr>
            <w:pStyle w:val="NormalWeb"/>
            <w:jc w:val="right"/>
            <w:rPr>
              <w:rFonts w:ascii="Arial" w:hAnsi="Arial" w:cs="Arial"/>
            </w:rPr>
          </w:pPr>
          <w:r>
            <w:rPr>
              <w:rFonts w:ascii="Arial" w:hAnsi="Arial" w:cs="Arial"/>
            </w:rPr>
            <w:t>01454 867171</w:t>
          </w:r>
        </w:p>
      </w:tc>
      <w:tc>
        <w:tcPr>
          <w:tcW w:w="4536" w:type="dxa"/>
        </w:tcPr>
        <w:p w:rsidR="00E14670" w:rsidRDefault="00E14670">
          <w:pPr>
            <w:pStyle w:val="NormalWeb"/>
            <w:jc w:val="right"/>
            <w:rPr>
              <w:rFonts w:ascii="Arial" w:hAnsi="Arial" w:cs="Arial"/>
            </w:rPr>
          </w:pPr>
        </w:p>
      </w:tc>
      <w:tc>
        <w:tcPr>
          <w:tcW w:w="2323" w:type="dxa"/>
        </w:tcPr>
        <w:p w:rsidR="00E14670" w:rsidRDefault="00B47D85">
          <w:pPr>
            <w:pStyle w:val="NormalWeb"/>
            <w:jc w:val="right"/>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87525D">
            <w:rPr>
              <w:rFonts w:ascii="Arial" w:hAnsi="Arial" w:cs="Arial"/>
              <w:noProof/>
            </w:rPr>
            <w:t>2</w:t>
          </w:r>
          <w:r>
            <w:rPr>
              <w:rFonts w:ascii="Arial" w:hAnsi="Arial" w:cs="Arial"/>
              <w:noProof/>
            </w:rPr>
            <w:fldChar w:fldCharType="end"/>
          </w:r>
        </w:p>
      </w:tc>
    </w:tr>
  </w:tbl>
  <w:p w:rsidR="00E14670" w:rsidRDefault="00E1467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7"/>
      <w:gridCol w:w="3001"/>
      <w:gridCol w:w="2652"/>
      <w:gridCol w:w="1463"/>
    </w:tblGrid>
    <w:tr w:rsidR="00E14670">
      <w:tc>
        <w:tcPr>
          <w:tcW w:w="3347" w:type="dxa"/>
        </w:tcPr>
        <w:p w:rsidR="00E14670" w:rsidRDefault="00B47D85">
          <w:pPr>
            <w:pStyle w:val="NormalWeb"/>
            <w:jc w:val="right"/>
            <w:rPr>
              <w:rFonts w:ascii="Arial" w:hAnsi="Arial" w:cs="Arial"/>
            </w:rPr>
          </w:pPr>
          <w:r>
            <w:rPr>
              <w:rFonts w:ascii="Arial" w:hAnsi="Arial" w:cs="Arial"/>
            </w:rPr>
            <w:t xml:space="preserve"> </w:t>
          </w:r>
        </w:p>
      </w:tc>
      <w:tc>
        <w:tcPr>
          <w:tcW w:w="3001" w:type="dxa"/>
        </w:tcPr>
        <w:p w:rsidR="00E14670" w:rsidRDefault="00E14670">
          <w:pPr>
            <w:pStyle w:val="NormalWeb"/>
            <w:jc w:val="right"/>
            <w:rPr>
              <w:rFonts w:ascii="Arial" w:hAnsi="Arial" w:cs="Arial"/>
            </w:rPr>
          </w:pPr>
        </w:p>
      </w:tc>
      <w:tc>
        <w:tcPr>
          <w:tcW w:w="2652" w:type="dxa"/>
        </w:tcPr>
        <w:p w:rsidR="00E14670" w:rsidRDefault="00E14670">
          <w:pPr>
            <w:pStyle w:val="NormalWeb"/>
            <w:jc w:val="right"/>
            <w:rPr>
              <w:rFonts w:ascii="Arial" w:hAnsi="Arial" w:cs="Arial"/>
            </w:rPr>
          </w:pPr>
        </w:p>
      </w:tc>
      <w:tc>
        <w:tcPr>
          <w:tcW w:w="1463" w:type="dxa"/>
        </w:tcPr>
        <w:p w:rsidR="00E14670" w:rsidRDefault="00E14670">
          <w:pPr>
            <w:pStyle w:val="NormalWeb"/>
            <w:jc w:val="right"/>
            <w:rPr>
              <w:rFonts w:ascii="Arial" w:hAnsi="Arial" w:cs="Arial"/>
            </w:rPr>
          </w:pPr>
        </w:p>
      </w:tc>
    </w:tr>
  </w:tbl>
  <w:p w:rsidR="00E14670" w:rsidRDefault="00E14670">
    <w:pPr>
      <w:pStyle w:val="NormalWeb"/>
      <w:jc w:val="right"/>
      <w:rPr>
        <w:rFonts w:ascii="Arial" w:hAnsi="Arial" w:cs="Arial"/>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2645"/>
      <w:gridCol w:w="3069"/>
      <w:gridCol w:w="1629"/>
    </w:tblGrid>
    <w:tr w:rsidR="00E14670">
      <w:tc>
        <w:tcPr>
          <w:tcW w:w="2498" w:type="dxa"/>
        </w:tcPr>
        <w:p w:rsidR="00E14670" w:rsidRDefault="00502027">
          <w:pPr>
            <w:pStyle w:val="Footer"/>
            <w:tabs>
              <w:tab w:val="clear" w:pos="4513"/>
              <w:tab w:val="center" w:pos="3402"/>
              <w:tab w:val="left" w:pos="4395"/>
              <w:tab w:val="left" w:pos="4536"/>
              <w:tab w:val="left" w:pos="5670"/>
              <w:tab w:val="left" w:pos="6521"/>
              <w:tab w:val="left" w:pos="6663"/>
            </w:tabs>
            <w:jc w:val="right"/>
          </w:pPr>
          <w:hyperlink r:id="rId1" w:history="1"/>
        </w:p>
      </w:tc>
      <w:tc>
        <w:tcPr>
          <w:tcW w:w="2713" w:type="dxa"/>
        </w:tcPr>
        <w:p w:rsidR="00E14670" w:rsidRDefault="00E14670">
          <w:pPr>
            <w:pStyle w:val="Footer"/>
            <w:tabs>
              <w:tab w:val="clear" w:pos="4513"/>
              <w:tab w:val="center" w:pos="3402"/>
              <w:tab w:val="left" w:pos="4395"/>
              <w:tab w:val="left" w:pos="4536"/>
              <w:tab w:val="left" w:pos="5670"/>
              <w:tab w:val="left" w:pos="6521"/>
              <w:tab w:val="left" w:pos="6663"/>
            </w:tabs>
            <w:jc w:val="right"/>
          </w:pPr>
        </w:p>
      </w:tc>
      <w:tc>
        <w:tcPr>
          <w:tcW w:w="3119" w:type="dxa"/>
        </w:tcPr>
        <w:p w:rsidR="00E14670" w:rsidRDefault="00B47D85">
          <w:pPr>
            <w:pStyle w:val="Footer"/>
            <w:tabs>
              <w:tab w:val="clear" w:pos="4513"/>
              <w:tab w:val="center" w:pos="3402"/>
              <w:tab w:val="left" w:pos="4395"/>
              <w:tab w:val="left" w:pos="4536"/>
              <w:tab w:val="left" w:pos="5670"/>
              <w:tab w:val="left" w:pos="6521"/>
              <w:tab w:val="left" w:pos="6663"/>
            </w:tabs>
            <w:jc w:val="right"/>
          </w:pPr>
          <w:r>
            <w:t>Version 20171201</w:t>
          </w:r>
        </w:p>
      </w:tc>
      <w:tc>
        <w:tcPr>
          <w:tcW w:w="1665" w:type="dxa"/>
        </w:tcPr>
        <w:p w:rsidR="00E14670" w:rsidRDefault="00B47D85">
          <w:pPr>
            <w:pStyle w:val="Footer"/>
            <w:tabs>
              <w:tab w:val="clear" w:pos="4513"/>
              <w:tab w:val="center" w:pos="3402"/>
              <w:tab w:val="left" w:pos="4395"/>
              <w:tab w:val="left" w:pos="4536"/>
              <w:tab w:val="left" w:pos="5670"/>
              <w:tab w:val="left" w:pos="6521"/>
              <w:tab w:val="left" w:pos="6663"/>
            </w:tabs>
            <w:jc w:val="right"/>
          </w:pPr>
          <w:r>
            <w:rPr>
              <w:rFonts w:cs="Arial"/>
            </w:rPr>
            <w:fldChar w:fldCharType="begin"/>
          </w:r>
          <w:r>
            <w:rPr>
              <w:rFonts w:cs="Arial"/>
            </w:rPr>
            <w:instrText xml:space="preserve"> PAGE   \* MERGEFORMAT </w:instrText>
          </w:r>
          <w:r>
            <w:rPr>
              <w:rFonts w:cs="Arial"/>
            </w:rPr>
            <w:fldChar w:fldCharType="separate"/>
          </w:r>
          <w:r w:rsidR="00905F20">
            <w:rPr>
              <w:rFonts w:cs="Arial"/>
              <w:noProof/>
            </w:rPr>
            <w:t>4</w:t>
          </w:r>
          <w:r>
            <w:rPr>
              <w:rFonts w:cs="Arial"/>
              <w:noProof/>
            </w:rPr>
            <w:fldChar w:fldCharType="end"/>
          </w:r>
        </w:p>
      </w:tc>
    </w:tr>
  </w:tbl>
  <w:p w:rsidR="00E14670" w:rsidRDefault="00E14670">
    <w:pPr>
      <w:pStyle w:val="Footer"/>
      <w:tabs>
        <w:tab w:val="clear" w:pos="4513"/>
        <w:tab w:val="center" w:pos="3402"/>
        <w:tab w:val="left" w:pos="4395"/>
        <w:tab w:val="left" w:pos="4536"/>
        <w:tab w:val="left" w:pos="5670"/>
        <w:tab w:val="left" w:pos="6521"/>
        <w:tab w:val="left" w:pos="6663"/>
      </w:tabs>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027" w:rsidRDefault="00502027">
      <w:pPr>
        <w:spacing w:after="0" w:line="240" w:lineRule="auto"/>
      </w:pPr>
      <w:r>
        <w:separator/>
      </w:r>
    </w:p>
  </w:footnote>
  <w:footnote w:type="continuationSeparator" w:id="0">
    <w:p w:rsidR="00502027" w:rsidRDefault="00502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670" w:rsidRDefault="00E14670">
    <w:pPr>
      <w:pStyle w:val="Header"/>
      <w:rPr>
        <w:color w:val="FFFFFF" w:themeColor="background1"/>
      </w:rPr>
    </w:pPr>
  </w:p>
  <w:p w:rsidR="00E14670" w:rsidRDefault="00E14670">
    <w:pPr>
      <w:pStyle w:val="Header"/>
      <w:rPr>
        <w:color w:val="FFFFFF" w:themeColor="background1"/>
      </w:rPr>
    </w:pPr>
  </w:p>
  <w:p w:rsidR="00E14670" w:rsidRDefault="00E14670">
    <w:pPr>
      <w:pStyle w:val="Header"/>
      <w:rPr>
        <w:color w:val="FFFFFF" w:themeColor="background1"/>
      </w:rPr>
    </w:pPr>
  </w:p>
  <w:p w:rsidR="00E14670" w:rsidRDefault="00E14670">
    <w:pPr>
      <w:pStyle w:val="Header"/>
      <w:rPr>
        <w:color w:val="FFFFFF" w:themeColor="background1"/>
      </w:rPr>
    </w:pPr>
  </w:p>
  <w:p w:rsidR="00E14670" w:rsidRDefault="00B47D85">
    <w:pPr>
      <w:pStyle w:val="Header"/>
      <w:rPr>
        <w:color w:val="FFFFFF" w:themeColor="background1"/>
      </w:rPr>
    </w:pPr>
    <w:r>
      <w:rPr>
        <w:color w:val="FFFFFF" w:themeColor="background1"/>
      </w:rPr>
      <w:t>Integra is the trading arm of South Gloucestershire Council</w:t>
    </w:r>
  </w:p>
  <w:p w:rsidR="00E14670" w:rsidRDefault="00E14670">
    <w:pPr>
      <w:pStyle w:val="Header"/>
      <w:rPr>
        <w:color w:val="FFFFFF" w:themeColor="background1"/>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F297C"/>
    <w:multiLevelType w:val="hybridMultilevel"/>
    <w:tmpl w:val="7A2C4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43F19"/>
    <w:multiLevelType w:val="hybridMultilevel"/>
    <w:tmpl w:val="BE041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3C4BBB"/>
    <w:multiLevelType w:val="hybridMultilevel"/>
    <w:tmpl w:val="02A0F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EA0188"/>
    <w:multiLevelType w:val="hybridMultilevel"/>
    <w:tmpl w:val="D81E9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A78A7"/>
    <w:multiLevelType w:val="hybridMultilevel"/>
    <w:tmpl w:val="BBDA5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007FBD"/>
    <w:multiLevelType w:val="hybridMultilevel"/>
    <w:tmpl w:val="76062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1B1B6E"/>
    <w:multiLevelType w:val="hybridMultilevel"/>
    <w:tmpl w:val="19AAE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0D66BF"/>
    <w:multiLevelType w:val="hybridMultilevel"/>
    <w:tmpl w:val="D2CA15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624B36"/>
    <w:multiLevelType w:val="hybridMultilevel"/>
    <w:tmpl w:val="2C563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47735D"/>
    <w:multiLevelType w:val="hybridMultilevel"/>
    <w:tmpl w:val="FE5EE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03023C"/>
    <w:multiLevelType w:val="hybridMultilevel"/>
    <w:tmpl w:val="BBA8A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9601C2"/>
    <w:multiLevelType w:val="hybridMultilevel"/>
    <w:tmpl w:val="3E603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1D75E9"/>
    <w:multiLevelType w:val="hybridMultilevel"/>
    <w:tmpl w:val="50D08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033441"/>
    <w:multiLevelType w:val="multilevel"/>
    <w:tmpl w:val="E35E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1A5746"/>
    <w:multiLevelType w:val="hybridMultilevel"/>
    <w:tmpl w:val="C4D80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8E015E"/>
    <w:multiLevelType w:val="hybridMultilevel"/>
    <w:tmpl w:val="45AE7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512515"/>
    <w:multiLevelType w:val="hybridMultilevel"/>
    <w:tmpl w:val="BD16AB94"/>
    <w:lvl w:ilvl="0" w:tplc="C92894BE">
      <w:start w:val="1"/>
      <w:numFmt w:val="bullet"/>
      <w:lvlText w:val="•"/>
      <w:lvlJc w:val="left"/>
      <w:pPr>
        <w:tabs>
          <w:tab w:val="num" w:pos="720"/>
        </w:tabs>
        <w:ind w:left="720" w:hanging="360"/>
      </w:pPr>
      <w:rPr>
        <w:rFonts w:ascii="Arial" w:hAnsi="Arial" w:hint="default"/>
      </w:rPr>
    </w:lvl>
    <w:lvl w:ilvl="1" w:tplc="AF38935E">
      <w:start w:val="1166"/>
      <w:numFmt w:val="bullet"/>
      <w:lvlText w:val="•"/>
      <w:lvlJc w:val="left"/>
      <w:pPr>
        <w:tabs>
          <w:tab w:val="num" w:pos="1440"/>
        </w:tabs>
        <w:ind w:left="1440" w:hanging="360"/>
      </w:pPr>
      <w:rPr>
        <w:rFonts w:ascii="Arial" w:hAnsi="Arial" w:hint="default"/>
      </w:rPr>
    </w:lvl>
    <w:lvl w:ilvl="2" w:tplc="EA068B46" w:tentative="1">
      <w:start w:val="1"/>
      <w:numFmt w:val="bullet"/>
      <w:lvlText w:val="•"/>
      <w:lvlJc w:val="left"/>
      <w:pPr>
        <w:tabs>
          <w:tab w:val="num" w:pos="2160"/>
        </w:tabs>
        <w:ind w:left="2160" w:hanging="360"/>
      </w:pPr>
      <w:rPr>
        <w:rFonts w:ascii="Arial" w:hAnsi="Arial" w:hint="default"/>
      </w:rPr>
    </w:lvl>
    <w:lvl w:ilvl="3" w:tplc="68D41BD2" w:tentative="1">
      <w:start w:val="1"/>
      <w:numFmt w:val="bullet"/>
      <w:lvlText w:val="•"/>
      <w:lvlJc w:val="left"/>
      <w:pPr>
        <w:tabs>
          <w:tab w:val="num" w:pos="2880"/>
        </w:tabs>
        <w:ind w:left="2880" w:hanging="360"/>
      </w:pPr>
      <w:rPr>
        <w:rFonts w:ascii="Arial" w:hAnsi="Arial" w:hint="default"/>
      </w:rPr>
    </w:lvl>
    <w:lvl w:ilvl="4" w:tplc="C642867C" w:tentative="1">
      <w:start w:val="1"/>
      <w:numFmt w:val="bullet"/>
      <w:lvlText w:val="•"/>
      <w:lvlJc w:val="left"/>
      <w:pPr>
        <w:tabs>
          <w:tab w:val="num" w:pos="3600"/>
        </w:tabs>
        <w:ind w:left="3600" w:hanging="360"/>
      </w:pPr>
      <w:rPr>
        <w:rFonts w:ascii="Arial" w:hAnsi="Arial" w:hint="default"/>
      </w:rPr>
    </w:lvl>
    <w:lvl w:ilvl="5" w:tplc="D234B4E0" w:tentative="1">
      <w:start w:val="1"/>
      <w:numFmt w:val="bullet"/>
      <w:lvlText w:val="•"/>
      <w:lvlJc w:val="left"/>
      <w:pPr>
        <w:tabs>
          <w:tab w:val="num" w:pos="4320"/>
        </w:tabs>
        <w:ind w:left="4320" w:hanging="360"/>
      </w:pPr>
      <w:rPr>
        <w:rFonts w:ascii="Arial" w:hAnsi="Arial" w:hint="default"/>
      </w:rPr>
    </w:lvl>
    <w:lvl w:ilvl="6" w:tplc="80A6025E" w:tentative="1">
      <w:start w:val="1"/>
      <w:numFmt w:val="bullet"/>
      <w:lvlText w:val="•"/>
      <w:lvlJc w:val="left"/>
      <w:pPr>
        <w:tabs>
          <w:tab w:val="num" w:pos="5040"/>
        </w:tabs>
        <w:ind w:left="5040" w:hanging="360"/>
      </w:pPr>
      <w:rPr>
        <w:rFonts w:ascii="Arial" w:hAnsi="Arial" w:hint="default"/>
      </w:rPr>
    </w:lvl>
    <w:lvl w:ilvl="7" w:tplc="36D4DB88" w:tentative="1">
      <w:start w:val="1"/>
      <w:numFmt w:val="bullet"/>
      <w:lvlText w:val="•"/>
      <w:lvlJc w:val="left"/>
      <w:pPr>
        <w:tabs>
          <w:tab w:val="num" w:pos="5760"/>
        </w:tabs>
        <w:ind w:left="5760" w:hanging="360"/>
      </w:pPr>
      <w:rPr>
        <w:rFonts w:ascii="Arial" w:hAnsi="Arial" w:hint="default"/>
      </w:rPr>
    </w:lvl>
    <w:lvl w:ilvl="8" w:tplc="6A02578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88E1B3C"/>
    <w:multiLevelType w:val="hybridMultilevel"/>
    <w:tmpl w:val="0ECAB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CA7607"/>
    <w:multiLevelType w:val="hybridMultilevel"/>
    <w:tmpl w:val="89109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94448F"/>
    <w:multiLevelType w:val="hybridMultilevel"/>
    <w:tmpl w:val="AC302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3F6DD6"/>
    <w:multiLevelType w:val="hybridMultilevel"/>
    <w:tmpl w:val="14AE9C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0595C38"/>
    <w:multiLevelType w:val="hybridMultilevel"/>
    <w:tmpl w:val="51BE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305505"/>
    <w:multiLevelType w:val="hybridMultilevel"/>
    <w:tmpl w:val="F3FCA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62393A"/>
    <w:multiLevelType w:val="hybridMultilevel"/>
    <w:tmpl w:val="6D861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1459C6"/>
    <w:multiLevelType w:val="hybridMultilevel"/>
    <w:tmpl w:val="780A7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135AC8"/>
    <w:multiLevelType w:val="hybridMultilevel"/>
    <w:tmpl w:val="C5723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D73D73"/>
    <w:multiLevelType w:val="multilevel"/>
    <w:tmpl w:val="6BC8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4071A8"/>
    <w:multiLevelType w:val="hybridMultilevel"/>
    <w:tmpl w:val="F09AC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6A50A8"/>
    <w:multiLevelType w:val="hybridMultilevel"/>
    <w:tmpl w:val="E4C4C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544F43"/>
    <w:multiLevelType w:val="hybridMultilevel"/>
    <w:tmpl w:val="F782E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800B98"/>
    <w:multiLevelType w:val="hybridMultilevel"/>
    <w:tmpl w:val="B48840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9F5438B"/>
    <w:multiLevelType w:val="hybridMultilevel"/>
    <w:tmpl w:val="C31A4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BF1943"/>
    <w:multiLevelType w:val="hybridMultilevel"/>
    <w:tmpl w:val="9EA6B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334921"/>
    <w:multiLevelType w:val="hybridMultilevel"/>
    <w:tmpl w:val="7A6CD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176796"/>
    <w:multiLevelType w:val="hybridMultilevel"/>
    <w:tmpl w:val="58C4F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6C2E93"/>
    <w:multiLevelType w:val="hybridMultilevel"/>
    <w:tmpl w:val="E3B8A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86770A"/>
    <w:multiLevelType w:val="hybridMultilevel"/>
    <w:tmpl w:val="07AA4154"/>
    <w:lvl w:ilvl="0" w:tplc="81506CA8">
      <w:start w:val="1"/>
      <w:numFmt w:val="bullet"/>
      <w:lvlText w:val="•"/>
      <w:lvlJc w:val="left"/>
      <w:pPr>
        <w:tabs>
          <w:tab w:val="num" w:pos="720"/>
        </w:tabs>
        <w:ind w:left="720" w:hanging="360"/>
      </w:pPr>
      <w:rPr>
        <w:rFonts w:ascii="Arial" w:hAnsi="Arial" w:hint="default"/>
      </w:rPr>
    </w:lvl>
    <w:lvl w:ilvl="1" w:tplc="C2ACFD32" w:tentative="1">
      <w:start w:val="1"/>
      <w:numFmt w:val="bullet"/>
      <w:lvlText w:val="•"/>
      <w:lvlJc w:val="left"/>
      <w:pPr>
        <w:tabs>
          <w:tab w:val="num" w:pos="1440"/>
        </w:tabs>
        <w:ind w:left="1440" w:hanging="360"/>
      </w:pPr>
      <w:rPr>
        <w:rFonts w:ascii="Arial" w:hAnsi="Arial" w:hint="default"/>
      </w:rPr>
    </w:lvl>
    <w:lvl w:ilvl="2" w:tplc="1C62400A" w:tentative="1">
      <w:start w:val="1"/>
      <w:numFmt w:val="bullet"/>
      <w:lvlText w:val="•"/>
      <w:lvlJc w:val="left"/>
      <w:pPr>
        <w:tabs>
          <w:tab w:val="num" w:pos="2160"/>
        </w:tabs>
        <w:ind w:left="2160" w:hanging="360"/>
      </w:pPr>
      <w:rPr>
        <w:rFonts w:ascii="Arial" w:hAnsi="Arial" w:hint="default"/>
      </w:rPr>
    </w:lvl>
    <w:lvl w:ilvl="3" w:tplc="0AE2F06A" w:tentative="1">
      <w:start w:val="1"/>
      <w:numFmt w:val="bullet"/>
      <w:lvlText w:val="•"/>
      <w:lvlJc w:val="left"/>
      <w:pPr>
        <w:tabs>
          <w:tab w:val="num" w:pos="2880"/>
        </w:tabs>
        <w:ind w:left="2880" w:hanging="360"/>
      </w:pPr>
      <w:rPr>
        <w:rFonts w:ascii="Arial" w:hAnsi="Arial" w:hint="default"/>
      </w:rPr>
    </w:lvl>
    <w:lvl w:ilvl="4" w:tplc="A184EBF4" w:tentative="1">
      <w:start w:val="1"/>
      <w:numFmt w:val="bullet"/>
      <w:lvlText w:val="•"/>
      <w:lvlJc w:val="left"/>
      <w:pPr>
        <w:tabs>
          <w:tab w:val="num" w:pos="3600"/>
        </w:tabs>
        <w:ind w:left="3600" w:hanging="360"/>
      </w:pPr>
      <w:rPr>
        <w:rFonts w:ascii="Arial" w:hAnsi="Arial" w:hint="default"/>
      </w:rPr>
    </w:lvl>
    <w:lvl w:ilvl="5" w:tplc="7BC4A984" w:tentative="1">
      <w:start w:val="1"/>
      <w:numFmt w:val="bullet"/>
      <w:lvlText w:val="•"/>
      <w:lvlJc w:val="left"/>
      <w:pPr>
        <w:tabs>
          <w:tab w:val="num" w:pos="4320"/>
        </w:tabs>
        <w:ind w:left="4320" w:hanging="360"/>
      </w:pPr>
      <w:rPr>
        <w:rFonts w:ascii="Arial" w:hAnsi="Arial" w:hint="default"/>
      </w:rPr>
    </w:lvl>
    <w:lvl w:ilvl="6" w:tplc="B1DA8072" w:tentative="1">
      <w:start w:val="1"/>
      <w:numFmt w:val="bullet"/>
      <w:lvlText w:val="•"/>
      <w:lvlJc w:val="left"/>
      <w:pPr>
        <w:tabs>
          <w:tab w:val="num" w:pos="5040"/>
        </w:tabs>
        <w:ind w:left="5040" w:hanging="360"/>
      </w:pPr>
      <w:rPr>
        <w:rFonts w:ascii="Arial" w:hAnsi="Arial" w:hint="default"/>
      </w:rPr>
    </w:lvl>
    <w:lvl w:ilvl="7" w:tplc="3EACA3B0" w:tentative="1">
      <w:start w:val="1"/>
      <w:numFmt w:val="bullet"/>
      <w:lvlText w:val="•"/>
      <w:lvlJc w:val="left"/>
      <w:pPr>
        <w:tabs>
          <w:tab w:val="num" w:pos="5760"/>
        </w:tabs>
        <w:ind w:left="5760" w:hanging="360"/>
      </w:pPr>
      <w:rPr>
        <w:rFonts w:ascii="Arial" w:hAnsi="Arial" w:hint="default"/>
      </w:rPr>
    </w:lvl>
    <w:lvl w:ilvl="8" w:tplc="45A66930"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B321F7F"/>
    <w:multiLevelType w:val="hybridMultilevel"/>
    <w:tmpl w:val="26141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A45704"/>
    <w:multiLevelType w:val="hybridMultilevel"/>
    <w:tmpl w:val="0088A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A52A61"/>
    <w:multiLevelType w:val="hybridMultilevel"/>
    <w:tmpl w:val="19CC0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E26BF6"/>
    <w:multiLevelType w:val="hybridMultilevel"/>
    <w:tmpl w:val="2DA8F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E56B65"/>
    <w:multiLevelType w:val="hybridMultilevel"/>
    <w:tmpl w:val="A0347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073C27"/>
    <w:multiLevelType w:val="hybridMultilevel"/>
    <w:tmpl w:val="DA8CE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1"/>
  </w:num>
  <w:num w:numId="3">
    <w:abstractNumId w:val="28"/>
  </w:num>
  <w:num w:numId="4">
    <w:abstractNumId w:val="4"/>
  </w:num>
  <w:num w:numId="5">
    <w:abstractNumId w:val="41"/>
  </w:num>
  <w:num w:numId="6">
    <w:abstractNumId w:val="14"/>
  </w:num>
  <w:num w:numId="7">
    <w:abstractNumId w:val="18"/>
  </w:num>
  <w:num w:numId="8">
    <w:abstractNumId w:val="10"/>
  </w:num>
  <w:num w:numId="9">
    <w:abstractNumId w:val="20"/>
  </w:num>
  <w:num w:numId="10">
    <w:abstractNumId w:val="32"/>
  </w:num>
  <w:num w:numId="11">
    <w:abstractNumId w:val="25"/>
  </w:num>
  <w:num w:numId="12">
    <w:abstractNumId w:val="22"/>
  </w:num>
  <w:num w:numId="13">
    <w:abstractNumId w:val="36"/>
  </w:num>
  <w:num w:numId="14">
    <w:abstractNumId w:val="40"/>
  </w:num>
  <w:num w:numId="15">
    <w:abstractNumId w:val="21"/>
  </w:num>
  <w:num w:numId="16">
    <w:abstractNumId w:val="5"/>
  </w:num>
  <w:num w:numId="17">
    <w:abstractNumId w:val="15"/>
  </w:num>
  <w:num w:numId="18">
    <w:abstractNumId w:val="6"/>
  </w:num>
  <w:num w:numId="19">
    <w:abstractNumId w:val="19"/>
  </w:num>
  <w:num w:numId="20">
    <w:abstractNumId w:val="12"/>
  </w:num>
  <w:num w:numId="21">
    <w:abstractNumId w:val="39"/>
  </w:num>
  <w:num w:numId="22">
    <w:abstractNumId w:val="35"/>
  </w:num>
  <w:num w:numId="23">
    <w:abstractNumId w:val="29"/>
  </w:num>
  <w:num w:numId="24">
    <w:abstractNumId w:val="33"/>
  </w:num>
  <w:num w:numId="25">
    <w:abstractNumId w:val="8"/>
  </w:num>
  <w:num w:numId="26">
    <w:abstractNumId w:val="9"/>
  </w:num>
  <w:num w:numId="27">
    <w:abstractNumId w:val="2"/>
  </w:num>
  <w:num w:numId="28">
    <w:abstractNumId w:val="42"/>
  </w:num>
  <w:num w:numId="29">
    <w:abstractNumId w:val="38"/>
  </w:num>
  <w:num w:numId="30">
    <w:abstractNumId w:val="23"/>
  </w:num>
  <w:num w:numId="31">
    <w:abstractNumId w:val="37"/>
  </w:num>
  <w:num w:numId="32">
    <w:abstractNumId w:val="3"/>
  </w:num>
  <w:num w:numId="33">
    <w:abstractNumId w:val="34"/>
  </w:num>
  <w:num w:numId="34">
    <w:abstractNumId w:val="17"/>
  </w:num>
  <w:num w:numId="35">
    <w:abstractNumId w:val="27"/>
  </w:num>
  <w:num w:numId="36">
    <w:abstractNumId w:val="1"/>
  </w:num>
  <w:num w:numId="37">
    <w:abstractNumId w:val="16"/>
  </w:num>
  <w:num w:numId="38">
    <w:abstractNumId w:val="24"/>
  </w:num>
  <w:num w:numId="39">
    <w:abstractNumId w:val="30"/>
  </w:num>
  <w:num w:numId="40">
    <w:abstractNumId w:val="11"/>
  </w:num>
  <w:num w:numId="41">
    <w:abstractNumId w:val="0"/>
  </w:num>
  <w:num w:numId="42">
    <w:abstractNumId w:val="13"/>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670"/>
    <w:rsid w:val="00502027"/>
    <w:rsid w:val="0087525D"/>
    <w:rsid w:val="00905F20"/>
    <w:rsid w:val="00A044AA"/>
    <w:rsid w:val="00B47D85"/>
    <w:rsid w:val="00D35706"/>
    <w:rsid w:val="00E146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E668DB"/>
  <w15:docId w15:val="{A2B7EA0C-C778-480F-BAC8-ABCDA8D01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Heading1">
    <w:name w:val="heading 1"/>
    <w:basedOn w:val="Normal"/>
    <w:next w:val="Normal"/>
    <w:link w:val="Heading1Char"/>
    <w:autoRedefine/>
    <w:uiPriority w:val="9"/>
    <w:qFormat/>
    <w:rsid w:val="00A044AA"/>
    <w:pPr>
      <w:keepNext/>
      <w:keepLines/>
      <w:spacing w:before="960" w:after="0"/>
      <w:jc w:val="center"/>
      <w:outlineLvl w:val="0"/>
    </w:pPr>
    <w:rPr>
      <w:rFonts w:eastAsiaTheme="majorEastAsia" w:cstheme="majorBidi"/>
      <w:color w:val="000000" w:themeColor="text1"/>
      <w:sz w:val="52"/>
      <w:szCs w:val="52"/>
    </w:rPr>
  </w:style>
  <w:style w:type="paragraph" w:styleId="Heading2">
    <w:name w:val="heading 2"/>
    <w:basedOn w:val="Normal"/>
    <w:next w:val="Normal"/>
    <w:link w:val="Heading2Char"/>
    <w:autoRedefine/>
    <w:uiPriority w:val="9"/>
    <w:unhideWhenUsed/>
    <w:qFormat/>
    <w:pPr>
      <w:keepNext/>
      <w:keepLines/>
      <w:spacing w:after="0" w:line="240" w:lineRule="auto"/>
      <w:outlineLvl w:val="1"/>
    </w:pPr>
    <w:rPr>
      <w:rFonts w:eastAsia="Times New Roman" w:cstheme="majorBidi"/>
      <w:sz w:val="36"/>
      <w:szCs w:val="36"/>
      <w:lang w:val="en" w:eastAsia="en-GB"/>
    </w:rPr>
  </w:style>
  <w:style w:type="paragraph" w:styleId="Heading3">
    <w:name w:val="heading 3"/>
    <w:basedOn w:val="Normal"/>
    <w:next w:val="Normal"/>
    <w:link w:val="Heading3Char"/>
    <w:uiPriority w:val="9"/>
    <w:unhideWhenUsed/>
    <w:qFormat/>
    <w:pPr>
      <w:keepNext/>
      <w:keepLines/>
      <w:spacing w:before="200" w:after="0"/>
      <w:outlineLvl w:val="2"/>
    </w:pPr>
    <w:rPr>
      <w:rFonts w:eastAsiaTheme="majorEastAsia" w:cstheme="majorBidi"/>
      <w:bCs/>
      <w:color w:val="0069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4AA"/>
    <w:rPr>
      <w:rFonts w:ascii="Arial" w:eastAsiaTheme="majorEastAsia" w:hAnsi="Arial" w:cstheme="majorBidi"/>
      <w:color w:val="000000" w:themeColor="text1"/>
      <w:sz w:val="52"/>
      <w:szCs w:val="52"/>
    </w:rPr>
  </w:style>
  <w:style w:type="character" w:customStyle="1" w:styleId="Heading2Char">
    <w:name w:val="Heading 2 Char"/>
    <w:basedOn w:val="DefaultParagraphFont"/>
    <w:link w:val="Heading2"/>
    <w:uiPriority w:val="9"/>
    <w:rPr>
      <w:rFonts w:ascii="Arial" w:eastAsia="Times New Roman" w:hAnsi="Arial" w:cstheme="majorBidi"/>
      <w:sz w:val="36"/>
      <w:szCs w:val="36"/>
      <w:lang w:val="en" w:eastAsia="en-GB"/>
    </w:rPr>
  </w:style>
  <w:style w:type="paragraph" w:styleId="Title">
    <w:name w:val="Title"/>
    <w:basedOn w:val="Normal"/>
    <w:next w:val="Normal"/>
    <w:link w:val="TitleChar"/>
    <w:autoRedefine/>
    <w:uiPriority w:val="10"/>
    <w:qFormat/>
    <w:pPr>
      <w:spacing w:after="0" w:line="240" w:lineRule="auto"/>
      <w:ind w:left="1304" w:right="1304"/>
      <w:contextualSpacing/>
    </w:pPr>
    <w:rPr>
      <w:rFonts w:eastAsiaTheme="majorEastAsia" w:cstheme="majorBidi"/>
      <w:spacing w:val="-10"/>
      <w:kern w:val="28"/>
      <w:sz w:val="84"/>
      <w:szCs w:val="84"/>
    </w:rPr>
  </w:style>
  <w:style w:type="character" w:customStyle="1" w:styleId="TitleChar">
    <w:name w:val="Title Char"/>
    <w:basedOn w:val="DefaultParagraphFont"/>
    <w:link w:val="Title"/>
    <w:uiPriority w:val="10"/>
    <w:rPr>
      <w:rFonts w:ascii="Arial" w:eastAsiaTheme="majorEastAsia" w:hAnsi="Arial" w:cstheme="majorBidi"/>
      <w:spacing w:val="-10"/>
      <w:kern w:val="28"/>
      <w:sz w:val="84"/>
      <w:szCs w:val="8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Arial" w:hAnsi="Arial"/>
      <w:sz w:val="24"/>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Arial" w:hAnsi="Arial"/>
      <w:sz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Cs w:val="24"/>
      <w:lang w:eastAsia="en-GB"/>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Arial" w:eastAsiaTheme="majorEastAsia" w:hAnsi="Arial" w:cstheme="majorBidi"/>
      <w:bCs/>
      <w:color w:val="006978"/>
      <w:sz w:val="28"/>
    </w:rPr>
  </w:style>
  <w:style w:type="paragraph" w:styleId="TOCHeading">
    <w:name w:val="TOC Heading"/>
    <w:basedOn w:val="Heading1"/>
    <w:next w:val="Normal"/>
    <w:uiPriority w:val="39"/>
    <w:unhideWhenUsed/>
    <w:qFormat/>
    <w:pPr>
      <w:spacing w:before="240"/>
      <w:jc w:val="left"/>
      <w:outlineLvl w:val="9"/>
    </w:pPr>
    <w:rPr>
      <w:rFonts w:asciiTheme="majorHAnsi" w:hAnsiTheme="majorHAnsi"/>
      <w:color w:val="2E74B5" w:themeColor="accent1" w:themeShade="BF"/>
      <w:sz w:val="32"/>
      <w:szCs w:val="32"/>
      <w:lang w:val="en-US"/>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40"/>
    </w:pPr>
  </w:style>
  <w:style w:type="paragraph" w:styleId="NoSpacing">
    <w:name w:val="No Spacing"/>
    <w:uiPriority w:val="1"/>
    <w:qFormat/>
    <w:pPr>
      <w:spacing w:after="0" w:line="240" w:lineRule="auto"/>
    </w:pPr>
    <w:rPr>
      <w:rFonts w:ascii="Arial" w:hAnsi="Arial"/>
      <w:sz w:val="24"/>
    </w:rPr>
  </w:style>
  <w:style w:type="character" w:customStyle="1" w:styleId="invisible1">
    <w:name w:val="invisible1"/>
    <w:basedOn w:val="DefaultParagraphFont"/>
  </w:style>
  <w:style w:type="character" w:customStyle="1" w:styleId="h42">
    <w:name w:val="h42"/>
    <w:basedOn w:val="DefaultParagraphFont"/>
    <w:rPr>
      <w:rFonts w:ascii="Georgia" w:hAnsi="Georgia" w:hint="default"/>
      <w:b w:val="0"/>
      <w:bCs w:val="0"/>
      <w:sz w:val="25"/>
      <w:szCs w:val="25"/>
    </w:rPr>
  </w:style>
  <w:style w:type="character" w:customStyle="1" w:styleId="invisible3">
    <w:name w:val="invisible3"/>
    <w:basedOn w:val="DefaultParagraphFont"/>
    <w:rPr>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371239">
      <w:bodyDiv w:val="1"/>
      <w:marLeft w:val="0"/>
      <w:marRight w:val="0"/>
      <w:marTop w:val="0"/>
      <w:marBottom w:val="0"/>
      <w:divBdr>
        <w:top w:val="none" w:sz="0" w:space="0" w:color="auto"/>
        <w:left w:val="none" w:sz="0" w:space="0" w:color="auto"/>
        <w:bottom w:val="none" w:sz="0" w:space="0" w:color="auto"/>
        <w:right w:val="none" w:sz="0" w:space="0" w:color="auto"/>
      </w:divBdr>
      <w:divsChild>
        <w:div w:id="1206062134">
          <w:marLeft w:val="274"/>
          <w:marRight w:val="0"/>
          <w:marTop w:val="150"/>
          <w:marBottom w:val="0"/>
          <w:divBdr>
            <w:top w:val="none" w:sz="0" w:space="0" w:color="auto"/>
            <w:left w:val="none" w:sz="0" w:space="0" w:color="auto"/>
            <w:bottom w:val="none" w:sz="0" w:space="0" w:color="auto"/>
            <w:right w:val="none" w:sz="0" w:space="0" w:color="auto"/>
          </w:divBdr>
        </w:div>
        <w:div w:id="2097360791">
          <w:marLeft w:val="806"/>
          <w:marRight w:val="0"/>
          <w:marTop w:val="75"/>
          <w:marBottom w:val="0"/>
          <w:divBdr>
            <w:top w:val="none" w:sz="0" w:space="0" w:color="auto"/>
            <w:left w:val="none" w:sz="0" w:space="0" w:color="auto"/>
            <w:bottom w:val="none" w:sz="0" w:space="0" w:color="auto"/>
            <w:right w:val="none" w:sz="0" w:space="0" w:color="auto"/>
          </w:divBdr>
        </w:div>
        <w:div w:id="1128817570">
          <w:marLeft w:val="806"/>
          <w:marRight w:val="0"/>
          <w:marTop w:val="75"/>
          <w:marBottom w:val="0"/>
          <w:divBdr>
            <w:top w:val="none" w:sz="0" w:space="0" w:color="auto"/>
            <w:left w:val="none" w:sz="0" w:space="0" w:color="auto"/>
            <w:bottom w:val="none" w:sz="0" w:space="0" w:color="auto"/>
            <w:right w:val="none" w:sz="0" w:space="0" w:color="auto"/>
          </w:divBdr>
        </w:div>
        <w:div w:id="1588731370">
          <w:marLeft w:val="806"/>
          <w:marRight w:val="0"/>
          <w:marTop w:val="75"/>
          <w:marBottom w:val="0"/>
          <w:divBdr>
            <w:top w:val="none" w:sz="0" w:space="0" w:color="auto"/>
            <w:left w:val="none" w:sz="0" w:space="0" w:color="auto"/>
            <w:bottom w:val="none" w:sz="0" w:space="0" w:color="auto"/>
            <w:right w:val="none" w:sz="0" w:space="0" w:color="auto"/>
          </w:divBdr>
        </w:div>
      </w:divsChild>
    </w:div>
    <w:div w:id="567301383">
      <w:bodyDiv w:val="1"/>
      <w:marLeft w:val="0"/>
      <w:marRight w:val="0"/>
      <w:marTop w:val="0"/>
      <w:marBottom w:val="0"/>
      <w:divBdr>
        <w:top w:val="none" w:sz="0" w:space="0" w:color="auto"/>
        <w:left w:val="none" w:sz="0" w:space="0" w:color="auto"/>
        <w:bottom w:val="none" w:sz="0" w:space="0" w:color="auto"/>
        <w:right w:val="none" w:sz="0" w:space="0" w:color="auto"/>
      </w:divBdr>
    </w:div>
    <w:div w:id="1481531593">
      <w:bodyDiv w:val="1"/>
      <w:marLeft w:val="0"/>
      <w:marRight w:val="0"/>
      <w:marTop w:val="0"/>
      <w:marBottom w:val="0"/>
      <w:divBdr>
        <w:top w:val="none" w:sz="0" w:space="0" w:color="auto"/>
        <w:left w:val="none" w:sz="0" w:space="0" w:color="auto"/>
        <w:bottom w:val="none" w:sz="0" w:space="0" w:color="auto"/>
        <w:right w:val="none" w:sz="0" w:space="0" w:color="auto"/>
      </w:divBdr>
    </w:div>
    <w:div w:id="1514149028">
      <w:bodyDiv w:val="1"/>
      <w:marLeft w:val="0"/>
      <w:marRight w:val="0"/>
      <w:marTop w:val="0"/>
      <w:marBottom w:val="0"/>
      <w:divBdr>
        <w:top w:val="none" w:sz="0" w:space="0" w:color="auto"/>
        <w:left w:val="none" w:sz="0" w:space="0" w:color="auto"/>
        <w:bottom w:val="none" w:sz="0" w:space="0" w:color="auto"/>
        <w:right w:val="none" w:sz="0" w:space="0" w:color="auto"/>
      </w:divBdr>
      <w:divsChild>
        <w:div w:id="1857646505">
          <w:marLeft w:val="0"/>
          <w:marRight w:val="0"/>
          <w:marTop w:val="0"/>
          <w:marBottom w:val="0"/>
          <w:divBdr>
            <w:top w:val="none" w:sz="0" w:space="0" w:color="auto"/>
            <w:left w:val="none" w:sz="0" w:space="0" w:color="auto"/>
            <w:bottom w:val="none" w:sz="0" w:space="0" w:color="auto"/>
            <w:right w:val="none" w:sz="0" w:space="0" w:color="auto"/>
          </w:divBdr>
          <w:divsChild>
            <w:div w:id="57360038">
              <w:marLeft w:val="0"/>
              <w:marRight w:val="0"/>
              <w:marTop w:val="0"/>
              <w:marBottom w:val="0"/>
              <w:divBdr>
                <w:top w:val="none" w:sz="0" w:space="0" w:color="auto"/>
                <w:left w:val="none" w:sz="0" w:space="0" w:color="auto"/>
                <w:bottom w:val="none" w:sz="0" w:space="0" w:color="auto"/>
                <w:right w:val="none" w:sz="0" w:space="0" w:color="auto"/>
              </w:divBdr>
            </w:div>
            <w:div w:id="1538815502">
              <w:marLeft w:val="0"/>
              <w:marRight w:val="0"/>
              <w:marTop w:val="0"/>
              <w:marBottom w:val="0"/>
              <w:divBdr>
                <w:top w:val="none" w:sz="0" w:space="0" w:color="auto"/>
                <w:left w:val="none" w:sz="0" w:space="0" w:color="auto"/>
                <w:bottom w:val="none" w:sz="0" w:space="0" w:color="auto"/>
                <w:right w:val="none" w:sz="0" w:space="0" w:color="auto"/>
              </w:divBdr>
              <w:divsChild>
                <w:div w:id="2074426958">
                  <w:marLeft w:val="0"/>
                  <w:marRight w:val="8"/>
                  <w:marTop w:val="0"/>
                  <w:marBottom w:val="0"/>
                  <w:divBdr>
                    <w:top w:val="none" w:sz="0" w:space="0" w:color="auto"/>
                    <w:left w:val="none" w:sz="0" w:space="0" w:color="auto"/>
                    <w:bottom w:val="none" w:sz="0" w:space="0" w:color="auto"/>
                    <w:right w:val="none" w:sz="0" w:space="0" w:color="auto"/>
                  </w:divBdr>
                </w:div>
              </w:divsChild>
            </w:div>
            <w:div w:id="376441703">
              <w:marLeft w:val="0"/>
              <w:marRight w:val="0"/>
              <w:marTop w:val="0"/>
              <w:marBottom w:val="0"/>
              <w:divBdr>
                <w:top w:val="none" w:sz="0" w:space="0" w:color="auto"/>
                <w:left w:val="none" w:sz="0" w:space="0" w:color="auto"/>
                <w:bottom w:val="none" w:sz="0" w:space="0" w:color="auto"/>
                <w:right w:val="none" w:sz="0" w:space="0" w:color="auto"/>
              </w:divBdr>
            </w:div>
          </w:divsChild>
        </w:div>
        <w:div w:id="1362900581">
          <w:marLeft w:val="0"/>
          <w:marRight w:val="0"/>
          <w:marTop w:val="0"/>
          <w:marBottom w:val="0"/>
          <w:divBdr>
            <w:top w:val="none" w:sz="0" w:space="0" w:color="auto"/>
            <w:left w:val="none" w:sz="0" w:space="0" w:color="auto"/>
            <w:bottom w:val="none" w:sz="0" w:space="0" w:color="auto"/>
            <w:right w:val="none" w:sz="0" w:space="0" w:color="auto"/>
          </w:divBdr>
          <w:divsChild>
            <w:div w:id="1573271628">
              <w:marLeft w:val="0"/>
              <w:marRight w:val="0"/>
              <w:marTop w:val="0"/>
              <w:marBottom w:val="0"/>
              <w:divBdr>
                <w:top w:val="none" w:sz="0" w:space="0" w:color="auto"/>
                <w:left w:val="none" w:sz="0" w:space="0" w:color="auto"/>
                <w:bottom w:val="none" w:sz="0" w:space="0" w:color="auto"/>
                <w:right w:val="none" w:sz="0" w:space="0" w:color="auto"/>
              </w:divBdr>
              <w:divsChild>
                <w:div w:id="1464738747">
                  <w:marLeft w:val="0"/>
                  <w:marRight w:val="0"/>
                  <w:marTop w:val="0"/>
                  <w:marBottom w:val="480"/>
                  <w:divBdr>
                    <w:top w:val="none" w:sz="0" w:space="0" w:color="auto"/>
                    <w:left w:val="none" w:sz="0" w:space="0" w:color="auto"/>
                    <w:bottom w:val="none" w:sz="0" w:space="0" w:color="auto"/>
                    <w:right w:val="none" w:sz="0" w:space="0" w:color="auto"/>
                  </w:divBdr>
                </w:div>
                <w:div w:id="834614562">
                  <w:marLeft w:val="0"/>
                  <w:marRight w:val="0"/>
                  <w:marTop w:val="0"/>
                  <w:marBottom w:val="0"/>
                  <w:divBdr>
                    <w:top w:val="none" w:sz="0" w:space="0" w:color="auto"/>
                    <w:left w:val="none" w:sz="0" w:space="0" w:color="auto"/>
                    <w:bottom w:val="none" w:sz="0" w:space="0" w:color="auto"/>
                    <w:right w:val="none" w:sz="0" w:space="0" w:color="auto"/>
                  </w:divBdr>
                </w:div>
                <w:div w:id="262814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829714415">
      <w:bodyDiv w:val="1"/>
      <w:marLeft w:val="0"/>
      <w:marRight w:val="0"/>
      <w:marTop w:val="0"/>
      <w:marBottom w:val="0"/>
      <w:divBdr>
        <w:top w:val="none" w:sz="0" w:space="0" w:color="auto"/>
        <w:left w:val="none" w:sz="0" w:space="0" w:color="auto"/>
        <w:bottom w:val="none" w:sz="0" w:space="0" w:color="auto"/>
        <w:right w:val="none" w:sz="0" w:space="0" w:color="auto"/>
      </w:divBdr>
      <w:divsChild>
        <w:div w:id="1799108776">
          <w:marLeft w:val="274"/>
          <w:marRight w:val="0"/>
          <w:marTop w:val="150"/>
          <w:marBottom w:val="0"/>
          <w:divBdr>
            <w:top w:val="none" w:sz="0" w:space="0" w:color="auto"/>
            <w:left w:val="none" w:sz="0" w:space="0" w:color="auto"/>
            <w:bottom w:val="none" w:sz="0" w:space="0" w:color="auto"/>
            <w:right w:val="none" w:sz="0" w:space="0" w:color="auto"/>
          </w:divBdr>
        </w:div>
        <w:div w:id="551385809">
          <w:marLeft w:val="274"/>
          <w:marRight w:val="0"/>
          <w:marTop w:val="150"/>
          <w:marBottom w:val="0"/>
          <w:divBdr>
            <w:top w:val="none" w:sz="0" w:space="0" w:color="auto"/>
            <w:left w:val="none" w:sz="0" w:space="0" w:color="auto"/>
            <w:bottom w:val="none" w:sz="0" w:space="0" w:color="auto"/>
            <w:right w:val="none" w:sz="0" w:space="0" w:color="auto"/>
          </w:divBdr>
        </w:div>
        <w:div w:id="736778953">
          <w:marLeft w:val="274"/>
          <w:marRight w:val="0"/>
          <w:marTop w:val="150"/>
          <w:marBottom w:val="0"/>
          <w:divBdr>
            <w:top w:val="none" w:sz="0" w:space="0" w:color="auto"/>
            <w:left w:val="none" w:sz="0" w:space="0" w:color="auto"/>
            <w:bottom w:val="none" w:sz="0" w:space="0" w:color="auto"/>
            <w:right w:val="none" w:sz="0" w:space="0" w:color="auto"/>
          </w:divBdr>
        </w:div>
      </w:divsChild>
    </w:div>
    <w:div w:id="184694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integra.co.u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info@integra.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7AD00-C3AB-4C74-A011-8B718D78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1487</Words>
  <Characters>8479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SGC</Company>
  <LinksUpToDate>false</LinksUpToDate>
  <CharactersWithSpaces>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 Brown</dc:creator>
  <cp:lastModifiedBy>Helen Harper</cp:lastModifiedBy>
  <cp:revision>2</cp:revision>
  <cp:lastPrinted>2017-10-15T16:58:00Z</cp:lastPrinted>
  <dcterms:created xsi:type="dcterms:W3CDTF">2020-05-11T08:28:00Z</dcterms:created>
  <dcterms:modified xsi:type="dcterms:W3CDTF">2020-05-11T08:28:00Z</dcterms:modified>
</cp:coreProperties>
</file>